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76BBB" w14:textId="77777777" w:rsidR="00EA4B28" w:rsidRPr="00EA4B28" w:rsidRDefault="00EA4B28" w:rsidP="009F0D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4B28">
        <w:rPr>
          <w:b/>
          <w:sz w:val="32"/>
          <w:szCs w:val="32"/>
        </w:rPr>
        <w:t xml:space="preserve">Expert Group on Roadworthiness </w:t>
      </w:r>
    </w:p>
    <w:p w14:paraId="0E4CC00D" w14:textId="77777777" w:rsidR="00EA4B28" w:rsidRPr="00EA4B28" w:rsidRDefault="00EA4B28" w:rsidP="009F0D90">
      <w:pPr>
        <w:jc w:val="center"/>
        <w:rPr>
          <w:b/>
          <w:sz w:val="32"/>
          <w:szCs w:val="32"/>
        </w:rPr>
      </w:pPr>
      <w:r w:rsidRPr="00EA4B28">
        <w:rPr>
          <w:b/>
          <w:sz w:val="32"/>
          <w:szCs w:val="32"/>
        </w:rPr>
        <w:t>and Vehicle Registration Documents (RWEG)</w:t>
      </w:r>
    </w:p>
    <w:p w14:paraId="31706167" w14:textId="77777777" w:rsidR="0021106A" w:rsidRPr="00EA4B28" w:rsidRDefault="009F0D90" w:rsidP="009F0D90">
      <w:pPr>
        <w:jc w:val="center"/>
        <w:rPr>
          <w:b/>
          <w:sz w:val="28"/>
          <w:szCs w:val="28"/>
        </w:rPr>
      </w:pPr>
      <w:r w:rsidRPr="00EA4B28">
        <w:rPr>
          <w:b/>
          <w:sz w:val="28"/>
          <w:szCs w:val="28"/>
        </w:rPr>
        <w:t>Discussion paper</w:t>
      </w:r>
    </w:p>
    <w:p w14:paraId="3F558C7A" w14:textId="77777777" w:rsidR="009F0D90" w:rsidRPr="00EA4B28" w:rsidRDefault="009F0D90" w:rsidP="009F0D90">
      <w:pPr>
        <w:jc w:val="center"/>
        <w:rPr>
          <w:sz w:val="24"/>
          <w:szCs w:val="24"/>
        </w:rPr>
      </w:pPr>
      <w:r w:rsidRPr="00EA4B28">
        <w:rPr>
          <w:sz w:val="24"/>
          <w:szCs w:val="24"/>
        </w:rPr>
        <w:t xml:space="preserve">Revision of </w:t>
      </w:r>
      <w:r w:rsidR="00EA4B28" w:rsidRPr="00EA4B28">
        <w:rPr>
          <w:sz w:val="24"/>
          <w:szCs w:val="24"/>
        </w:rPr>
        <w:t xml:space="preserve">the </w:t>
      </w:r>
      <w:r w:rsidRPr="00EA4B28">
        <w:rPr>
          <w:sz w:val="24"/>
          <w:szCs w:val="24"/>
        </w:rPr>
        <w:t xml:space="preserve">Roadworthiness </w:t>
      </w:r>
      <w:r w:rsidR="00EA4B28" w:rsidRPr="00EA4B28">
        <w:rPr>
          <w:sz w:val="24"/>
          <w:szCs w:val="24"/>
        </w:rPr>
        <w:t>P</w:t>
      </w:r>
      <w:r w:rsidRPr="00EA4B28">
        <w:rPr>
          <w:sz w:val="24"/>
          <w:szCs w:val="24"/>
        </w:rPr>
        <w:t>ackage</w:t>
      </w:r>
    </w:p>
    <w:p w14:paraId="4FFAF8EA" w14:textId="77777777" w:rsidR="009F0D90" w:rsidRPr="00EA4B28" w:rsidRDefault="009F0D90" w:rsidP="009F0D90">
      <w:pPr>
        <w:jc w:val="center"/>
        <w:rPr>
          <w:sz w:val="24"/>
          <w:szCs w:val="24"/>
        </w:rPr>
      </w:pPr>
      <w:r w:rsidRPr="00EA4B28">
        <w:rPr>
          <w:sz w:val="24"/>
          <w:szCs w:val="24"/>
        </w:rPr>
        <w:t>Possible measures related to Periodic Technical Inspection (PTI)</w:t>
      </w:r>
    </w:p>
    <w:p w14:paraId="6A2C059E" w14:textId="77777777" w:rsidR="009F0D90" w:rsidRPr="00EA4B28" w:rsidRDefault="009F0D90" w:rsidP="009F0D90">
      <w:pPr>
        <w:jc w:val="center"/>
        <w:rPr>
          <w:sz w:val="24"/>
          <w:szCs w:val="24"/>
        </w:rPr>
      </w:pPr>
      <w:r w:rsidRPr="00EA4B28">
        <w:rPr>
          <w:sz w:val="24"/>
          <w:szCs w:val="24"/>
        </w:rPr>
        <w:t>(Directive 2014/45/EU)</w:t>
      </w:r>
    </w:p>
    <w:p w14:paraId="35E06BB8" w14:textId="77777777" w:rsidR="009F0D90" w:rsidRDefault="009F0D90" w:rsidP="009F0D90">
      <w:pPr>
        <w:jc w:val="center"/>
      </w:pPr>
      <w:r>
        <w:t>Version 1.0</w:t>
      </w:r>
    </w:p>
    <w:p w14:paraId="7D914C34" w14:textId="77777777" w:rsidR="009F0D90" w:rsidRDefault="009F0D90" w:rsidP="009F0D90">
      <w:pPr>
        <w:jc w:val="center"/>
      </w:pPr>
    </w:p>
    <w:p w14:paraId="4A256957" w14:textId="77777777" w:rsidR="009F0D90" w:rsidRPr="00EA4B28" w:rsidRDefault="009F0D90" w:rsidP="009F0D90">
      <w:pPr>
        <w:jc w:val="both"/>
        <w:rPr>
          <w:b/>
          <w:sz w:val="24"/>
          <w:szCs w:val="24"/>
        </w:rPr>
      </w:pPr>
      <w:r w:rsidRPr="00EA4B28">
        <w:rPr>
          <w:b/>
          <w:sz w:val="24"/>
          <w:szCs w:val="24"/>
        </w:rPr>
        <w:t>Introduction</w:t>
      </w:r>
    </w:p>
    <w:p w14:paraId="18471197" w14:textId="77777777" w:rsidR="009F0D90" w:rsidRDefault="009F0D90" w:rsidP="009F0D90">
      <w:pPr>
        <w:jc w:val="both"/>
      </w:pPr>
      <w:r>
        <w:t>This discussion paper is based on</w:t>
      </w:r>
    </w:p>
    <w:p w14:paraId="797A7F4E" w14:textId="77777777" w:rsidR="009F0D90" w:rsidRDefault="009F0D90" w:rsidP="009F0D90">
      <w:pPr>
        <w:pStyle w:val="ListParagraph"/>
        <w:numPr>
          <w:ilvl w:val="0"/>
          <w:numId w:val="1"/>
        </w:numPr>
        <w:jc w:val="both"/>
      </w:pPr>
      <w:r>
        <w:t>Part 1 of the scoping paper discussed at the meeting of the RWEG of 11 February 2022 and comments received subsequently</w:t>
      </w:r>
      <w:r w:rsidR="00EA4B28">
        <w:t xml:space="preserve"> (PTI measures)</w:t>
      </w:r>
      <w:r>
        <w:t>;</w:t>
      </w:r>
    </w:p>
    <w:p w14:paraId="6B72CF0A" w14:textId="77777777" w:rsidR="009F0D90" w:rsidRDefault="00EA4B28" w:rsidP="009F0D90">
      <w:pPr>
        <w:pStyle w:val="ListParagraph"/>
        <w:numPr>
          <w:ilvl w:val="0"/>
          <w:numId w:val="1"/>
        </w:numPr>
        <w:jc w:val="both"/>
      </w:pPr>
      <w:r>
        <w:t>The general and specific objectives identified in the preliminary problem tree discussed at the meeting of the RWEG of 21 September 2022 (cf. figure below).</w:t>
      </w:r>
    </w:p>
    <w:p w14:paraId="2E7DAEA4" w14:textId="77777777" w:rsidR="009E1BD0" w:rsidRDefault="009E1BD0" w:rsidP="009E1BD0">
      <w:pPr>
        <w:jc w:val="both"/>
      </w:pPr>
      <w:r>
        <w:t>It will be first discussed at the meeting of the RWEG on 5 December 2022.</w:t>
      </w:r>
    </w:p>
    <w:p w14:paraId="26A194BC" w14:textId="77777777" w:rsidR="00EA4B28" w:rsidRDefault="00EA4B28" w:rsidP="00EA4B28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Problem tree - Revision of Roadworthiness Package</w:t>
      </w:r>
    </w:p>
    <w:p w14:paraId="1FD3AAE5" w14:textId="77777777" w:rsidR="009F0D90" w:rsidRDefault="00236F9B" w:rsidP="009F0D90">
      <w:pPr>
        <w:jc w:val="center"/>
      </w:pPr>
      <w:r w:rsidRPr="00236F9B">
        <w:rPr>
          <w:noProof/>
          <w:lang w:val="fr-BE" w:eastAsia="fr-BE"/>
        </w:rPr>
        <w:drawing>
          <wp:inline distT="0" distB="0" distL="0" distR="0" wp14:anchorId="3F71A685" wp14:editId="060E1868">
            <wp:extent cx="6289362" cy="353767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921" cy="355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F9B">
        <w:t xml:space="preserve"> </w:t>
      </w:r>
    </w:p>
    <w:p w14:paraId="164FC852" w14:textId="77777777" w:rsidR="00EA4B28" w:rsidRDefault="00EA4B28" w:rsidP="009F0D90">
      <w:pPr>
        <w:jc w:val="center"/>
      </w:pPr>
    </w:p>
    <w:p w14:paraId="0DC49CF3" w14:textId="77777777" w:rsidR="00236F9B" w:rsidRDefault="00236F9B">
      <w:r>
        <w:br w:type="page"/>
      </w:r>
    </w:p>
    <w:p w14:paraId="4AC5E1BB" w14:textId="77777777" w:rsidR="00236F9B" w:rsidRPr="00236F9B" w:rsidRDefault="00236F9B" w:rsidP="00EA4B28">
      <w:pPr>
        <w:jc w:val="both"/>
        <w:rPr>
          <w:b/>
          <w:sz w:val="24"/>
          <w:szCs w:val="24"/>
        </w:rPr>
      </w:pPr>
      <w:r w:rsidRPr="00236F9B">
        <w:rPr>
          <w:b/>
          <w:sz w:val="24"/>
          <w:szCs w:val="24"/>
        </w:rPr>
        <w:lastRenderedPageBreak/>
        <w:t>Linking measures to objectives</w:t>
      </w:r>
    </w:p>
    <w:p w14:paraId="24719967" w14:textId="42F71205" w:rsidR="00451652" w:rsidRDefault="007A6A40" w:rsidP="00EA4B28">
      <w:pPr>
        <w:jc w:val="both"/>
      </w:pPr>
      <w:r>
        <w:t>In the table below, possible PTI measures are associated with (general and) specific objectives. The last column indicates which article or specific provision of the Directive might be affected.</w:t>
      </w:r>
      <w:r w:rsidR="00BD68FB">
        <w:t xml:space="preserve"> New elements compared to the February version of the scoping paper </w:t>
      </w:r>
      <w:r w:rsidR="00F71239">
        <w:t xml:space="preserve">(largely based on comments received) </w:t>
      </w:r>
      <w:r w:rsidR="00BD68FB">
        <w:t xml:space="preserve">are </w:t>
      </w:r>
      <w:r w:rsidR="00BD68FB" w:rsidRPr="00BD68FB">
        <w:rPr>
          <w:highlight w:val="yellow"/>
        </w:rPr>
        <w:t>highlighted</w:t>
      </w:r>
      <w:r w:rsidR="00BD68FB">
        <w:t>.</w:t>
      </w:r>
      <w:r w:rsidR="003A0DA6">
        <w:t xml:space="preserve"> </w:t>
      </w:r>
      <w:r w:rsidR="004B7A93">
        <w:t>I</w:t>
      </w:r>
      <w:r w:rsidR="003A0DA6">
        <w:t xml:space="preserve">nspection </w:t>
      </w:r>
      <w:r w:rsidR="004B7A93">
        <w:t xml:space="preserve">should </w:t>
      </w:r>
      <w:r w:rsidR="003A0DA6">
        <w:t>‘follow’ (be in line with) type-approval requirements. The measures listed below can be grouped as follows: (1) scope of vehicles and frequency of testing – directive or regulation?</w:t>
      </w:r>
      <w:r w:rsidR="00160DE3">
        <w:t>;</w:t>
      </w:r>
      <w:r w:rsidR="003A0DA6">
        <w:t xml:space="preserve"> (2) </w:t>
      </w:r>
      <w:r w:rsidR="00160DE3" w:rsidRPr="00160DE3">
        <w:t>Roadworthiness certificate</w:t>
      </w:r>
      <w:r w:rsidR="00160DE3">
        <w:t>; (3) Improving</w:t>
      </w:r>
      <w:r w:rsidR="00160DE3" w:rsidRPr="00160DE3">
        <w:t xml:space="preserve"> current test requirements and procedures</w:t>
      </w:r>
      <w:r w:rsidR="00160DE3">
        <w:t xml:space="preserve">; (4) </w:t>
      </w:r>
      <w:r w:rsidR="00160DE3" w:rsidRPr="00160DE3">
        <w:t>Introduc</w:t>
      </w:r>
      <w:r w:rsidR="00160DE3">
        <w:t>ing</w:t>
      </w:r>
      <w:r w:rsidR="00160DE3" w:rsidRPr="00160DE3">
        <w:t xml:space="preserve"> new test procedures</w:t>
      </w:r>
      <w:r w:rsidR="00160DE3">
        <w:t>.</w:t>
      </w:r>
    </w:p>
    <w:p w14:paraId="3516CF6C" w14:textId="77777777" w:rsidR="00236F9B" w:rsidRDefault="00236F9B" w:rsidP="00236F9B">
      <w:pPr>
        <w:pStyle w:val="Caption"/>
        <w:keepNext/>
        <w:jc w:val="both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PTI measures</w:t>
      </w:r>
      <w:r>
        <w:rPr>
          <w:noProof/>
        </w:rPr>
        <w:t xml:space="preserve"> vs objectives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6"/>
        <w:gridCol w:w="1134"/>
        <w:gridCol w:w="1984"/>
      </w:tblGrid>
      <w:tr w:rsidR="00BD68FB" w:rsidRPr="00613A96" w14:paraId="2445BD86" w14:textId="77777777" w:rsidTr="00340957">
        <w:trPr>
          <w:cantSplit/>
          <w:tblHeader/>
        </w:trPr>
        <w:tc>
          <w:tcPr>
            <w:tcW w:w="411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7203541" w14:textId="77777777" w:rsidR="00BD68FB" w:rsidRPr="00613A96" w:rsidRDefault="00BD68FB" w:rsidP="006429D5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9A7E258" w14:textId="77777777" w:rsidR="00BD68FB" w:rsidRDefault="00BD68FB" w:rsidP="00BD68FB">
            <w:pPr>
              <w:jc w:val="center"/>
              <w:rPr>
                <w:b/>
              </w:rPr>
            </w:pPr>
            <w:r>
              <w:rPr>
                <w:b/>
              </w:rPr>
              <w:t>Addressing specific objective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8A31ABD" w14:textId="77777777" w:rsidR="00BD68FB" w:rsidRDefault="00BD68FB" w:rsidP="006429D5">
            <w:pPr>
              <w:rPr>
                <w:b/>
              </w:rPr>
            </w:pPr>
          </w:p>
        </w:tc>
      </w:tr>
      <w:tr w:rsidR="00C30463" w:rsidRPr="00613A96" w14:paraId="73DC8598" w14:textId="77777777" w:rsidTr="0013530E">
        <w:trPr>
          <w:cantSplit/>
          <w:tblHeader/>
        </w:trPr>
        <w:tc>
          <w:tcPr>
            <w:tcW w:w="411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28470B5" w14:textId="77777777" w:rsidR="007A6A40" w:rsidRPr="00613A96" w:rsidRDefault="007A6A40" w:rsidP="006429D5">
            <w:pPr>
              <w:rPr>
                <w:b/>
              </w:rPr>
            </w:pPr>
            <w:r w:rsidRPr="00613A96">
              <w:rPr>
                <w:b/>
              </w:rPr>
              <w:t>Measures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DE49DFB" w14:textId="77777777" w:rsidR="007A6A40" w:rsidRPr="00613A96" w:rsidRDefault="007A6A40" w:rsidP="006429D5">
            <w:pPr>
              <w:rPr>
                <w:b/>
              </w:rPr>
            </w:pPr>
            <w:r>
              <w:rPr>
                <w:b/>
              </w:rPr>
              <w:t>Improve exchange of data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68D71EF" w14:textId="77777777" w:rsidR="007A6A40" w:rsidRPr="00613A96" w:rsidRDefault="007A6A40" w:rsidP="00533A3D">
            <w:pPr>
              <w:rPr>
                <w:b/>
              </w:rPr>
            </w:pPr>
            <w:r>
              <w:rPr>
                <w:b/>
              </w:rPr>
              <w:t xml:space="preserve">Prevent </w:t>
            </w:r>
            <w:r w:rsidR="00533A3D">
              <w:rPr>
                <w:b/>
              </w:rPr>
              <w:t>tampered, defective vehicles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B58D02B" w14:textId="77777777" w:rsidR="007A6A40" w:rsidRPr="00613A96" w:rsidRDefault="007A6A40" w:rsidP="006429D5">
            <w:pPr>
              <w:rPr>
                <w:b/>
              </w:rPr>
            </w:pPr>
            <w:r>
              <w:rPr>
                <w:b/>
              </w:rPr>
              <w:t>Adapt testing to new vehicles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936BC23" w14:textId="77777777" w:rsidR="007A6A40" w:rsidRPr="00613A96" w:rsidRDefault="0013530E" w:rsidP="006429D5">
            <w:pPr>
              <w:rPr>
                <w:b/>
              </w:rPr>
            </w:pPr>
            <w:r>
              <w:rPr>
                <w:b/>
              </w:rPr>
              <w:t>Amend Directive</w:t>
            </w:r>
          </w:p>
        </w:tc>
      </w:tr>
      <w:tr w:rsidR="003A0DA6" w14:paraId="475AC039" w14:textId="77777777" w:rsidTr="00554EDC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DFE1439" w14:textId="77777777" w:rsidR="003A0DA6" w:rsidRPr="003A0DA6" w:rsidRDefault="003A0DA6" w:rsidP="003A0DA6">
            <w:pPr>
              <w:rPr>
                <w:b/>
              </w:rPr>
            </w:pPr>
            <w:r w:rsidRPr="003A0DA6">
              <w:rPr>
                <w:b/>
              </w:rPr>
              <w:t>Scope of vehicles and frequency of testing – directive or regulation?</w:t>
            </w:r>
          </w:p>
        </w:tc>
      </w:tr>
      <w:tr w:rsidR="00F73F6C" w14:paraId="52535871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2BBC" w14:textId="77777777" w:rsidR="001D29D7" w:rsidRDefault="00E20208" w:rsidP="00442178">
            <w:r>
              <w:t>Scope</w:t>
            </w:r>
            <w:r>
              <w:rPr>
                <w:rStyle w:val="FootnoteReference"/>
              </w:rPr>
              <w:footnoteReference w:id="1"/>
            </w:r>
            <w:r>
              <w:t>: m</w:t>
            </w:r>
            <w:r w:rsidR="00533A3D" w:rsidRPr="002340F4">
              <w:t xml:space="preserve">andatory </w:t>
            </w:r>
            <w:r w:rsidR="00533A3D">
              <w:t xml:space="preserve">PTI </w:t>
            </w:r>
            <w:r w:rsidR="00533A3D" w:rsidRPr="002340F4">
              <w:t xml:space="preserve">for </w:t>
            </w:r>
          </w:p>
          <w:p w14:paraId="65D3D41D" w14:textId="77777777" w:rsidR="00872441" w:rsidRDefault="00533A3D" w:rsidP="006D5B4F">
            <w:pPr>
              <w:pStyle w:val="ListParagraph"/>
              <w:numPr>
                <w:ilvl w:val="0"/>
                <w:numId w:val="4"/>
              </w:numPr>
              <w:ind w:left="174" w:hanging="142"/>
            </w:pPr>
            <w:r w:rsidRPr="002340F4">
              <w:t>MC</w:t>
            </w:r>
            <w:r w:rsidR="001D29D7">
              <w:t xml:space="preserve"> (from 50 or 125 cm3?</w:t>
            </w:r>
            <w:r w:rsidR="00553900">
              <w:t xml:space="preserve"> </w:t>
            </w:r>
            <w:r w:rsidR="00553900" w:rsidRPr="00553900">
              <w:rPr>
                <w:highlight w:val="yellow"/>
              </w:rPr>
              <w:t xml:space="preserve">Or </w:t>
            </w:r>
            <w:r w:rsidR="00553900">
              <w:rPr>
                <w:highlight w:val="yellow"/>
              </w:rPr>
              <w:t>refer to</w:t>
            </w:r>
            <w:r w:rsidR="00553900" w:rsidRPr="00553900">
              <w:rPr>
                <w:highlight w:val="yellow"/>
              </w:rPr>
              <w:t xml:space="preserve"> design speed or power instead?</w:t>
            </w:r>
            <w:r w:rsidR="001D29D7" w:rsidRPr="00553900">
              <w:rPr>
                <w:highlight w:val="yellow"/>
              </w:rPr>
              <w:t>)</w:t>
            </w:r>
          </w:p>
          <w:p w14:paraId="0A7D5074" w14:textId="77777777" w:rsidR="00533A3D" w:rsidRDefault="001D29D7" w:rsidP="006D5B4F">
            <w:pPr>
              <w:pStyle w:val="ListParagraph"/>
              <w:numPr>
                <w:ilvl w:val="0"/>
                <w:numId w:val="4"/>
              </w:numPr>
              <w:ind w:left="174" w:hanging="142"/>
            </w:pPr>
            <w:r w:rsidRPr="002340F4">
              <w:t>T</w:t>
            </w:r>
            <w:r w:rsidR="00533A3D" w:rsidRPr="002340F4">
              <w:t>ractors</w:t>
            </w:r>
          </w:p>
          <w:p w14:paraId="0484258C" w14:textId="77777777" w:rsidR="001D29D7" w:rsidRDefault="001D29D7" w:rsidP="00872441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highlight w:val="yellow"/>
              </w:rPr>
            </w:pPr>
            <w:r w:rsidRPr="00D12CBF">
              <w:rPr>
                <w:highlight w:val="yellow"/>
              </w:rPr>
              <w:t>Additional trailer categories?</w:t>
            </w:r>
          </w:p>
          <w:p w14:paraId="5CA11033" w14:textId="77777777" w:rsidR="00F41832" w:rsidRPr="00D12CBF" w:rsidRDefault="00F41832" w:rsidP="00872441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highlight w:val="yellow"/>
              </w:rPr>
            </w:pPr>
            <w:r>
              <w:rPr>
                <w:highlight w:val="yellow"/>
              </w:rPr>
              <w:t>Every registered vehicle?</w:t>
            </w:r>
          </w:p>
          <w:p w14:paraId="29F7520A" w14:textId="77777777" w:rsidR="00872441" w:rsidRDefault="00872441" w:rsidP="00872441">
            <w:r w:rsidRPr="00D12CBF">
              <w:rPr>
                <w:highlight w:val="yellow"/>
              </w:rPr>
              <w:t>Same frequency as for cars?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177D" w14:textId="77777777" w:rsidR="00533A3D" w:rsidRDefault="00533A3D" w:rsidP="0044217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8BF52" w14:textId="77777777" w:rsidR="00533A3D" w:rsidRDefault="00533A3D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8D5E" w14:textId="77777777" w:rsidR="00533A3D" w:rsidRDefault="00533A3D" w:rsidP="00442178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4C5485" w14:textId="77777777" w:rsidR="00533A3D" w:rsidRDefault="00533A3D" w:rsidP="005E638E">
            <w:pPr>
              <w:jc w:val="center"/>
            </w:pPr>
            <w:r>
              <w:t>Art. 2(2)</w:t>
            </w:r>
          </w:p>
        </w:tc>
      </w:tr>
      <w:tr w:rsidR="00533A3D" w14:paraId="13BA8A10" w14:textId="77777777" w:rsidTr="00C3046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74D711" w14:textId="034559B3" w:rsidR="00533A3D" w:rsidRDefault="00533A3D" w:rsidP="008F4717">
            <w:r w:rsidRPr="00D12CBF">
              <w:rPr>
                <w:highlight w:val="yellow"/>
              </w:rPr>
              <w:t>PTI abroad to be recognised by MS of registration (</w:t>
            </w:r>
            <w:r w:rsidRPr="00D12CBF">
              <w:rPr>
                <w:highlight w:val="green"/>
              </w:rPr>
              <w:t>if regulation</w:t>
            </w:r>
            <w:r w:rsidRPr="00D12CBF">
              <w:rPr>
                <w:highlight w:val="yellow"/>
              </w:rPr>
              <w:t>); at least every 2</w:t>
            </w:r>
            <w:r w:rsidRPr="00D12CBF">
              <w:rPr>
                <w:highlight w:val="yellow"/>
                <w:vertAlign w:val="superscript"/>
              </w:rPr>
              <w:t>nd</w:t>
            </w:r>
            <w:r w:rsidRPr="00D12CBF">
              <w:rPr>
                <w:highlight w:val="yellow"/>
              </w:rPr>
              <w:t xml:space="preserve"> time </w:t>
            </w:r>
            <w:r w:rsidR="008F4717">
              <w:rPr>
                <w:highlight w:val="yellow"/>
              </w:rPr>
              <w:t>[</w:t>
            </w:r>
            <w:r w:rsidR="002F1B01">
              <w:rPr>
                <w:highlight w:val="yellow"/>
              </w:rPr>
              <w:t>if</w:t>
            </w:r>
            <w:r w:rsidR="00EE229A">
              <w:rPr>
                <w:highlight w:val="yellow"/>
              </w:rPr>
              <w:t xml:space="preserve"> </w:t>
            </w:r>
            <w:r w:rsidR="002F1B01">
              <w:rPr>
                <w:highlight w:val="yellow"/>
              </w:rPr>
              <w:t xml:space="preserve">MS decides so] </w:t>
            </w:r>
            <w:r w:rsidRPr="00D12CBF">
              <w:rPr>
                <w:highlight w:val="yellow"/>
              </w:rPr>
              <w:t>(</w:t>
            </w:r>
            <w:r w:rsidRPr="00D12CBF">
              <w:rPr>
                <w:highlight w:val="green"/>
              </w:rPr>
              <w:t>if directive</w:t>
            </w:r>
            <w:r w:rsidRPr="00D12CBF">
              <w:rPr>
                <w:highlight w:val="yellow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6B9638" w14:textId="77777777" w:rsidR="00533A3D" w:rsidRDefault="00533A3D" w:rsidP="00FA5464">
            <w:pPr>
              <w:jc w:val="center"/>
            </w:pPr>
            <w:r>
              <w:t>Facilitate free movement</w:t>
            </w:r>
          </w:p>
          <w:p w14:paraId="356EC387" w14:textId="77777777" w:rsidR="00533A3D" w:rsidRDefault="00533A3D" w:rsidP="00FA5464">
            <w:pPr>
              <w:jc w:val="center"/>
            </w:pPr>
            <w:r>
              <w:t>(general objective)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FDC12" w14:textId="19567DD1" w:rsidR="00533A3D" w:rsidRDefault="008F4717" w:rsidP="00FA5464">
            <w:pPr>
              <w:jc w:val="center"/>
            </w:pPr>
            <w:r>
              <w:t xml:space="preserve">“shall” or “may” provision in </w:t>
            </w:r>
            <w:r w:rsidR="00533A3D">
              <w:t>Art. 4(2)</w:t>
            </w:r>
          </w:p>
        </w:tc>
      </w:tr>
      <w:tr w:rsidR="00D07289" w14:paraId="6D333701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4F5476" w14:textId="77777777" w:rsidR="00D07289" w:rsidRDefault="00D07289" w:rsidP="00DD03D7">
            <w:r>
              <w:t xml:space="preserve">Adapt PTI intervals, based on </w:t>
            </w:r>
          </w:p>
          <w:p w14:paraId="5C682C1A" w14:textId="20ED26B3" w:rsidR="00D07289" w:rsidRDefault="00D07289" w:rsidP="00DD03D7">
            <w:pPr>
              <w:pStyle w:val="ListParagraph"/>
              <w:numPr>
                <w:ilvl w:val="0"/>
                <w:numId w:val="4"/>
              </w:numPr>
              <w:ind w:left="174" w:hanging="142"/>
            </w:pPr>
            <w:r>
              <w:t xml:space="preserve">More frequent emission testing </w:t>
            </w:r>
            <w:r w:rsidR="002F1B01">
              <w:t>e.g.</w:t>
            </w:r>
            <w:r w:rsidR="00DF3A92">
              <w:t xml:space="preserve"> for</w:t>
            </w:r>
          </w:p>
          <w:p w14:paraId="2370B764" w14:textId="5D9DE288" w:rsidR="00D07289" w:rsidRDefault="00D07289" w:rsidP="00DD03D7">
            <w:pPr>
              <w:pStyle w:val="ListParagraph"/>
              <w:numPr>
                <w:ilvl w:val="1"/>
                <w:numId w:val="4"/>
              </w:numPr>
              <w:ind w:left="599" w:hanging="284"/>
            </w:pPr>
            <w:r>
              <w:t>commercial vehicles?</w:t>
            </w:r>
            <w:r w:rsidR="002F1B01">
              <w:t xml:space="preserve"> (</w:t>
            </w:r>
            <w:r w:rsidR="002F1B01" w:rsidRPr="00C12BFB">
              <w:rPr>
                <w:highlight w:val="yellow"/>
              </w:rPr>
              <w:t>N1 like HDV?</w:t>
            </w:r>
            <w:r w:rsidR="002F1B01">
              <w:t>)</w:t>
            </w:r>
          </w:p>
          <w:p w14:paraId="42C2BABE" w14:textId="37A986C6" w:rsidR="00DF3A92" w:rsidRDefault="00D07289" w:rsidP="00DF3A92">
            <w:pPr>
              <w:pStyle w:val="ListParagraph"/>
              <w:numPr>
                <w:ilvl w:val="1"/>
                <w:numId w:val="4"/>
              </w:numPr>
              <w:ind w:left="599" w:hanging="284"/>
            </w:pPr>
            <w:r>
              <w:t>older cars?</w:t>
            </w:r>
          </w:p>
          <w:p w14:paraId="7DA43C88" w14:textId="2140103C" w:rsidR="00DF3A92" w:rsidRPr="00C12BFB" w:rsidRDefault="002F1B01" w:rsidP="00DF3A92">
            <w:pPr>
              <w:pStyle w:val="ListParagraph"/>
              <w:numPr>
                <w:ilvl w:val="1"/>
                <w:numId w:val="4"/>
              </w:numPr>
              <w:ind w:left="599" w:hanging="284"/>
              <w:rPr>
                <w:highlight w:val="yellow"/>
              </w:rPr>
            </w:pPr>
            <w:r w:rsidRPr="00C12BFB">
              <w:rPr>
                <w:highlight w:val="yellow"/>
              </w:rPr>
              <w:t xml:space="preserve">some </w:t>
            </w:r>
            <w:r w:rsidR="00DF3A92" w:rsidRPr="00C12BFB">
              <w:rPr>
                <w:highlight w:val="yellow"/>
              </w:rPr>
              <w:t>other category</w:t>
            </w:r>
            <w:r w:rsidRPr="00C12BFB">
              <w:rPr>
                <w:highlight w:val="yellow"/>
              </w:rPr>
              <w:t>?</w:t>
            </w:r>
          </w:p>
          <w:p w14:paraId="25C5FBE1" w14:textId="38A1EE7A" w:rsidR="00D07289" w:rsidRDefault="00D07289" w:rsidP="00DD03D7">
            <w:pPr>
              <w:pStyle w:val="ListParagraph"/>
              <w:numPr>
                <w:ilvl w:val="0"/>
                <w:numId w:val="4"/>
              </w:numPr>
              <w:ind w:left="174" w:hanging="142"/>
            </w:pPr>
            <w:r>
              <w:t>Intensity of vehicle use</w:t>
            </w:r>
            <w:r w:rsidR="00DF3A92">
              <w:t>:</w:t>
            </w:r>
            <w:r>
              <w:t xml:space="preserve"> </w:t>
            </w:r>
            <w:r w:rsidRPr="00DD03D7">
              <w:rPr>
                <w:highlight w:val="yellow"/>
              </w:rPr>
              <w:t xml:space="preserve"> mileage limit </w:t>
            </w:r>
            <w:r w:rsidR="00DF3A92">
              <w:rPr>
                <w:highlight w:val="yellow"/>
              </w:rPr>
              <w:t>in addition</w:t>
            </w:r>
            <w:r w:rsidRPr="00DD03D7">
              <w:rPr>
                <w:highlight w:val="yellow"/>
              </w:rPr>
              <w:t xml:space="preserve"> to frequency?</w:t>
            </w:r>
            <w:r>
              <w:t xml:space="preserve">) </w:t>
            </w:r>
          </w:p>
          <w:p w14:paraId="375CA17C" w14:textId="77777777" w:rsidR="00D07289" w:rsidRPr="00DD03D7" w:rsidRDefault="00D07289" w:rsidP="00DD03D7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highlight w:val="yellow"/>
              </w:rPr>
            </w:pPr>
            <w:r w:rsidRPr="00DD03D7">
              <w:rPr>
                <w:highlight w:val="yellow"/>
              </w:rPr>
              <w:t>vehicle history, safety recalls</w:t>
            </w:r>
          </w:p>
          <w:p w14:paraId="301E7C18" w14:textId="77777777" w:rsidR="00D07289" w:rsidRDefault="00D07289" w:rsidP="00DD03D7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highlight w:val="yellow"/>
              </w:rPr>
            </w:pPr>
            <w:r w:rsidRPr="00DD03D7">
              <w:rPr>
                <w:highlight w:val="yellow"/>
              </w:rPr>
              <w:t xml:space="preserve">less frequent for vehicles </w:t>
            </w:r>
            <w:r w:rsidR="00EE229A">
              <w:rPr>
                <w:highlight w:val="yellow"/>
              </w:rPr>
              <w:t xml:space="preserve">subject to </w:t>
            </w:r>
            <w:r w:rsidRPr="00DD03D7">
              <w:rPr>
                <w:highlight w:val="yellow"/>
              </w:rPr>
              <w:t>ePTI, CTI (e.g. automated vehicles)?</w:t>
            </w:r>
          </w:p>
          <w:p w14:paraId="77ABD51B" w14:textId="7A0D249B" w:rsidR="00EE229A" w:rsidRPr="00D12CBF" w:rsidRDefault="00EE229A" w:rsidP="00DD03D7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highlight w:val="yellow"/>
              </w:rPr>
            </w:pPr>
            <w:r>
              <w:rPr>
                <w:highlight w:val="yellow"/>
              </w:rPr>
              <w:t>period extended if vehicle passed RSI or ePTI without defects?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1B5C74" w14:textId="77777777" w:rsidR="00D07289" w:rsidRDefault="00D07289" w:rsidP="00FA546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B69A7E" w14:textId="77777777" w:rsidR="00D07289" w:rsidRDefault="00D07289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51B123" w14:textId="77777777" w:rsidR="00D07289" w:rsidRDefault="00D07289" w:rsidP="00FA5464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54BA1" w14:textId="77777777" w:rsidR="00D07289" w:rsidRDefault="00D07289" w:rsidP="00FA5464">
            <w:pPr>
              <w:jc w:val="center"/>
            </w:pPr>
            <w:r>
              <w:t>Art. 5</w:t>
            </w:r>
          </w:p>
        </w:tc>
      </w:tr>
      <w:tr w:rsidR="00F73F6C" w14:paraId="1F6326E0" w14:textId="77777777" w:rsidTr="00C3046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D20132" w14:textId="6236C6C4" w:rsidR="00F73F6C" w:rsidRPr="00FD2A9D" w:rsidRDefault="00F73F6C" w:rsidP="00F73F6C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A</w:t>
            </w:r>
            <w:r w:rsidRPr="00FD2A9D">
              <w:rPr>
                <w:rFonts w:cstheme="minorHAnsi"/>
                <w:lang w:eastAsia="en-GB"/>
              </w:rPr>
              <w:t>dditional options for requesting additional PTIs</w:t>
            </w:r>
            <w:r>
              <w:rPr>
                <w:rFonts w:cstheme="minorHAnsi"/>
                <w:lang w:eastAsia="en-GB"/>
              </w:rPr>
              <w:t xml:space="preserve"> (</w:t>
            </w:r>
            <w:r w:rsidR="00DF3A92">
              <w:rPr>
                <w:rFonts w:cstheme="minorHAnsi"/>
                <w:lang w:eastAsia="en-GB"/>
              </w:rPr>
              <w:t xml:space="preserve">are these </w:t>
            </w:r>
            <w:r>
              <w:rPr>
                <w:rFonts w:cstheme="minorHAnsi"/>
                <w:lang w:eastAsia="en-GB"/>
              </w:rPr>
              <w:t>necessary?):</w:t>
            </w:r>
          </w:p>
          <w:p w14:paraId="7384C14A" w14:textId="77777777" w:rsidR="00F73F6C" w:rsidRPr="00FD2A9D" w:rsidRDefault="00F73F6C" w:rsidP="00F73F6C">
            <w:pPr>
              <w:pStyle w:val="ListParagraph"/>
              <w:numPr>
                <w:ilvl w:val="0"/>
                <w:numId w:val="3"/>
              </w:numPr>
              <w:ind w:left="174" w:hanging="142"/>
              <w:rPr>
                <w:rFonts w:cstheme="minorHAnsi"/>
                <w:lang w:eastAsia="en-GB"/>
              </w:rPr>
            </w:pPr>
            <w:r w:rsidRPr="00FD2A9D">
              <w:rPr>
                <w:rFonts w:cstheme="minorHAnsi"/>
                <w:lang w:eastAsia="en-GB"/>
              </w:rPr>
              <w:t>Before transfer of ownership</w:t>
            </w:r>
          </w:p>
          <w:p w14:paraId="46F823D3" w14:textId="77777777" w:rsidR="00F73F6C" w:rsidRPr="00FD2A9D" w:rsidRDefault="00F73F6C" w:rsidP="00F73F6C">
            <w:pPr>
              <w:pStyle w:val="ListParagraph"/>
              <w:numPr>
                <w:ilvl w:val="0"/>
                <w:numId w:val="3"/>
              </w:numPr>
              <w:ind w:left="174" w:hanging="142"/>
              <w:rPr>
                <w:rFonts w:cstheme="minorHAnsi"/>
                <w:highlight w:val="yellow"/>
                <w:lang w:eastAsia="en-GB"/>
              </w:rPr>
            </w:pPr>
            <w:r w:rsidRPr="00FD2A9D">
              <w:rPr>
                <w:rFonts w:cstheme="minorHAnsi"/>
                <w:highlight w:val="yellow"/>
                <w:lang w:eastAsia="en-GB"/>
              </w:rPr>
              <w:t xml:space="preserve">crashed vehicles with significant damage </w:t>
            </w:r>
          </w:p>
          <w:p w14:paraId="38833DE1" w14:textId="77777777" w:rsidR="00F73F6C" w:rsidRPr="00FD2A9D" w:rsidRDefault="00F73F6C" w:rsidP="00F73F6C">
            <w:pPr>
              <w:pStyle w:val="ListParagraph"/>
              <w:numPr>
                <w:ilvl w:val="0"/>
                <w:numId w:val="3"/>
              </w:numPr>
              <w:ind w:left="174" w:hanging="142"/>
              <w:rPr>
                <w:rFonts w:cstheme="minorHAnsi"/>
                <w:highlight w:val="yellow"/>
                <w:lang w:eastAsia="en-GB"/>
              </w:rPr>
            </w:pPr>
            <w:r w:rsidRPr="00FD2A9D">
              <w:rPr>
                <w:rFonts w:cstheme="minorHAnsi"/>
                <w:highlight w:val="yellow"/>
                <w:lang w:eastAsia="en-GB"/>
              </w:rPr>
              <w:t>following significant modifications (e.g. change of class, propulsion system)</w:t>
            </w:r>
          </w:p>
          <w:p w14:paraId="1DE9AD9E" w14:textId="77777777" w:rsidR="00F73F6C" w:rsidRDefault="004B279C" w:rsidP="00F73F6C">
            <w:pPr>
              <w:ind w:left="32"/>
              <w:rPr>
                <w:rFonts w:cstheme="minorHAnsi"/>
                <w:lang w:eastAsia="en-GB"/>
              </w:rPr>
            </w:pPr>
            <w:r w:rsidRPr="005E6CDE">
              <w:rPr>
                <w:rFonts w:cstheme="minorHAnsi"/>
                <w:highlight w:val="yellow"/>
                <w:lang w:eastAsia="en-GB"/>
              </w:rPr>
              <w:t xml:space="preserve"> </w:t>
            </w:r>
            <w:r w:rsidR="00F73F6C" w:rsidRPr="005E6CDE">
              <w:rPr>
                <w:rFonts w:cstheme="minorHAnsi"/>
                <w:highlight w:val="yellow"/>
                <w:lang w:eastAsia="en-GB"/>
              </w:rPr>
              <w:t>(is it not already the case in all MSs? – currently “may”)</w:t>
            </w:r>
          </w:p>
          <w:p w14:paraId="28B647D0" w14:textId="77777777" w:rsidR="004B279C" w:rsidRPr="004B279C" w:rsidRDefault="004B279C" w:rsidP="004B279C">
            <w:pPr>
              <w:pStyle w:val="ListParagraph"/>
              <w:numPr>
                <w:ilvl w:val="0"/>
                <w:numId w:val="3"/>
              </w:numPr>
              <w:ind w:left="174" w:hanging="142"/>
              <w:rPr>
                <w:rFonts w:cstheme="minorHAnsi"/>
                <w:highlight w:val="yellow"/>
                <w:lang w:eastAsia="en-GB"/>
              </w:rPr>
            </w:pPr>
            <w:r w:rsidRPr="00FD2A9D">
              <w:rPr>
                <w:rFonts w:cstheme="minorHAnsi"/>
                <w:highlight w:val="yellow"/>
                <w:lang w:eastAsia="en-GB"/>
              </w:rPr>
              <w:t xml:space="preserve">Before permanent transfer to another </w:t>
            </w:r>
            <w:r w:rsidRPr="00FD2A9D">
              <w:rPr>
                <w:rFonts w:cstheme="minorHAnsi"/>
                <w:highlight w:val="yellow"/>
                <w:lang w:eastAsia="en-GB"/>
              </w:rPr>
              <w:lastRenderedPageBreak/>
              <w:t>jurisdiction</w:t>
            </w:r>
            <w:r>
              <w:rPr>
                <w:rFonts w:cstheme="minorHAnsi"/>
                <w:highlight w:val="yellow"/>
                <w:lang w:eastAsia="en-GB"/>
              </w:rPr>
              <w:t xml:space="preserve"> (incl. export from EU)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EDBFFD" w14:textId="77777777" w:rsidR="00F73F6C" w:rsidRDefault="00F73F6C" w:rsidP="00F73F6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EB4D6B" w14:textId="77777777" w:rsidR="00F73F6C" w:rsidRDefault="00F73F6C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05A2C4" w14:textId="77777777" w:rsidR="00F73F6C" w:rsidRDefault="00F73F6C" w:rsidP="00F73F6C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B420915" w14:textId="77777777" w:rsidR="00F73F6C" w:rsidRDefault="00F73F6C" w:rsidP="00F73F6C">
            <w:r>
              <w:t>Need “shall” in Art. 5(4)?</w:t>
            </w:r>
          </w:p>
        </w:tc>
      </w:tr>
      <w:tr w:rsidR="003A0DA6" w:rsidRPr="003A0DA6" w14:paraId="320619A1" w14:textId="77777777" w:rsidTr="00C3046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8449" w14:textId="77777777" w:rsidR="003A0DA6" w:rsidRPr="003A0DA6" w:rsidRDefault="003A0DA6" w:rsidP="006429D5">
            <w:pPr>
              <w:spacing w:before="60" w:after="60"/>
              <w:jc w:val="both"/>
              <w:rPr>
                <w:rFonts w:cstheme="minorHAnsi"/>
                <w:b/>
                <w:lang w:eastAsia="en-GB"/>
              </w:rPr>
            </w:pPr>
            <w:r w:rsidRPr="003A0DA6">
              <w:rPr>
                <w:rFonts w:cstheme="minorHAnsi"/>
                <w:b/>
                <w:lang w:eastAsia="en-GB"/>
              </w:rPr>
              <w:t>Roadworthiness certificate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91D9" w14:textId="77777777" w:rsidR="003A0DA6" w:rsidRPr="003A0DA6" w:rsidRDefault="003A0DA6" w:rsidP="006429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2DEB" w14:textId="77777777" w:rsidR="003A0DA6" w:rsidRPr="003A0DA6" w:rsidRDefault="003A0DA6" w:rsidP="006429D5">
            <w:pPr>
              <w:pStyle w:val="ListParagrap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3C0F" w14:textId="77777777" w:rsidR="003A0DA6" w:rsidRPr="003A0DA6" w:rsidRDefault="003A0DA6" w:rsidP="006429D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79BAF5" w14:textId="77777777" w:rsidR="003A0DA6" w:rsidRPr="003A0DA6" w:rsidRDefault="003A0DA6" w:rsidP="006429D5">
            <w:pPr>
              <w:rPr>
                <w:b/>
              </w:rPr>
            </w:pPr>
          </w:p>
        </w:tc>
      </w:tr>
      <w:tr w:rsidR="00C30463" w14:paraId="21FB9C58" w14:textId="77777777" w:rsidTr="00C3046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FA0D" w14:textId="77777777" w:rsidR="00F73F6C" w:rsidRPr="00D12CBF" w:rsidRDefault="00F73F6C" w:rsidP="006429D5">
            <w:pPr>
              <w:spacing w:before="60" w:after="60"/>
              <w:jc w:val="both"/>
              <w:rPr>
                <w:rFonts w:ascii="Arial" w:hAnsi="Arial" w:cs="Arial"/>
                <w:i/>
                <w:lang w:val="en-GB" w:eastAsia="en-GB"/>
              </w:rPr>
            </w:pPr>
            <w:r w:rsidRPr="00FD2A9D">
              <w:rPr>
                <w:rFonts w:cstheme="minorHAnsi"/>
                <w:lang w:eastAsia="en-GB"/>
              </w:rPr>
              <w:t>R</w:t>
            </w:r>
            <w:r>
              <w:rPr>
                <w:rFonts w:cstheme="minorHAnsi"/>
                <w:lang w:eastAsia="en-GB"/>
              </w:rPr>
              <w:t>equire r</w:t>
            </w:r>
            <w:r w:rsidRPr="00FD2A9D">
              <w:rPr>
                <w:rFonts w:cstheme="minorHAnsi"/>
                <w:lang w:eastAsia="en-GB"/>
              </w:rPr>
              <w:t>oadworthiness certificate in electronic format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7FEA" w14:textId="77777777" w:rsidR="00F73F6C" w:rsidRDefault="00F73F6C" w:rsidP="006429D5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20E1" w14:textId="77777777" w:rsidR="00F73F6C" w:rsidRDefault="00F73F6C" w:rsidP="006429D5">
            <w:pPr>
              <w:pStyle w:val="ListParagrap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2EA8" w14:textId="77777777" w:rsidR="00F73F6C" w:rsidRDefault="00F73F6C" w:rsidP="006429D5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EB17B" w14:textId="77777777" w:rsidR="00F73F6C" w:rsidRDefault="00F73F6C" w:rsidP="006429D5">
            <w:r>
              <w:t>Art. 8</w:t>
            </w:r>
          </w:p>
        </w:tc>
      </w:tr>
      <w:tr w:rsidR="003A0DA6" w14:paraId="2EAC5647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9BBB" w14:textId="77777777" w:rsidR="003A0DA6" w:rsidRPr="003A0DA6" w:rsidRDefault="003A0DA6" w:rsidP="003A0DA6">
            <w:r>
              <w:rPr>
                <w:highlight w:val="yellow"/>
              </w:rPr>
              <w:t xml:space="preserve">Report </w:t>
            </w:r>
            <w:r w:rsidR="009E1BD0">
              <w:rPr>
                <w:highlight w:val="yellow"/>
              </w:rPr>
              <w:t>results o</w:t>
            </w:r>
            <w:r>
              <w:rPr>
                <w:highlight w:val="yellow"/>
              </w:rPr>
              <w:t>f o</w:t>
            </w:r>
            <w:r w:rsidRPr="003A0DA6">
              <w:rPr>
                <w:highlight w:val="yellow"/>
              </w:rPr>
              <w:t xml:space="preserve">n-board fuel consumption monitoring </w:t>
            </w:r>
            <w:r>
              <w:rPr>
                <w:highlight w:val="yellow"/>
              </w:rPr>
              <w:t xml:space="preserve">on certificate </w:t>
            </w:r>
            <w:r w:rsidRPr="003A0DA6">
              <w:rPr>
                <w:highlight w:val="yellow"/>
              </w:rPr>
              <w:t>(</w:t>
            </w:r>
            <w:r w:rsidR="009E1BD0">
              <w:rPr>
                <w:highlight w:val="yellow"/>
              </w:rPr>
              <w:t xml:space="preserve">OBFCM </w:t>
            </w:r>
            <w:r>
              <w:rPr>
                <w:highlight w:val="yellow"/>
              </w:rPr>
              <w:t>required</w:t>
            </w:r>
            <w:r w:rsidRPr="003A0DA6">
              <w:rPr>
                <w:highlight w:val="yellow"/>
              </w:rPr>
              <w:t xml:space="preserve"> by Regulation 2021/392) – any need for adaptation?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44E1" w14:textId="77777777" w:rsidR="003A0DA6" w:rsidRDefault="003A0DA6" w:rsidP="008D0BD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2D74" w14:textId="77777777" w:rsidR="003A0DA6" w:rsidRDefault="003A0DA6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7A14" w14:textId="77777777" w:rsidR="003A0DA6" w:rsidRDefault="003A0DA6" w:rsidP="008D0BD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C3414A" w14:textId="77777777" w:rsidR="003A0DA6" w:rsidRDefault="009E1BD0" w:rsidP="008D0BD2">
            <w:r>
              <w:t>Art. 8?</w:t>
            </w:r>
          </w:p>
        </w:tc>
      </w:tr>
      <w:tr w:rsidR="009E1BD0" w14:paraId="766E5109" w14:textId="77777777" w:rsidTr="00772ABD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476A395" w14:textId="77777777" w:rsidR="009E1BD0" w:rsidRPr="009E1BD0" w:rsidRDefault="009E1BD0" w:rsidP="009E1BD0">
            <w:pPr>
              <w:rPr>
                <w:b/>
              </w:rPr>
            </w:pPr>
            <w:r w:rsidRPr="009E1BD0">
              <w:rPr>
                <w:b/>
              </w:rPr>
              <w:t>Improve current test requirements and procedures</w:t>
            </w:r>
          </w:p>
        </w:tc>
      </w:tr>
      <w:tr w:rsidR="00F73F6C" w14:paraId="100BF4AB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27B22C" w14:textId="77777777" w:rsidR="00F73F6C" w:rsidRPr="005E6CDE" w:rsidRDefault="00F73F6C" w:rsidP="006429D5">
            <w:r w:rsidRPr="005E6CDE">
              <w:t>Require more advanced testing of:</w:t>
            </w:r>
          </w:p>
          <w:p w14:paraId="6AEAE4AD" w14:textId="20213ECB" w:rsidR="00F73F6C" w:rsidRDefault="00F73F6C" w:rsidP="00F73F6C">
            <w:pPr>
              <w:pStyle w:val="ListParagraph"/>
              <w:numPr>
                <w:ilvl w:val="0"/>
                <w:numId w:val="4"/>
              </w:numPr>
              <w:ind w:left="316" w:hanging="142"/>
              <w:rPr>
                <w:highlight w:val="yellow"/>
              </w:rPr>
            </w:pPr>
            <w:r w:rsidRPr="005E6CDE">
              <w:t xml:space="preserve">noise </w:t>
            </w:r>
            <w:r w:rsidRPr="005E6CDE">
              <w:rPr>
                <w:highlight w:val="yellow"/>
              </w:rPr>
              <w:t>(for motorcycles): sufficient to refer to UN Regulation 41</w:t>
            </w:r>
            <w:r>
              <w:rPr>
                <w:highlight w:val="yellow"/>
              </w:rPr>
              <w:t xml:space="preserve"> for pass-by noise tests?</w:t>
            </w:r>
            <w:r w:rsidR="0049204B">
              <w:rPr>
                <w:highlight w:val="yellow"/>
              </w:rPr>
              <w:t xml:space="preserve"> Or type-approved sound level?</w:t>
            </w:r>
          </w:p>
          <w:p w14:paraId="50539E82" w14:textId="7EE93151" w:rsidR="00F73F6C" w:rsidRPr="0049204B" w:rsidRDefault="00F73F6C" w:rsidP="0049204B">
            <w:pPr>
              <w:pStyle w:val="ListParagraph"/>
              <w:numPr>
                <w:ilvl w:val="0"/>
                <w:numId w:val="4"/>
              </w:numPr>
              <w:ind w:left="316" w:hanging="142"/>
              <w:rPr>
                <w:highlight w:val="yellow"/>
              </w:rPr>
            </w:pPr>
            <w:r w:rsidRPr="0049204B">
              <w:t>Lighting?</w:t>
            </w:r>
            <w:r w:rsidR="0049204B" w:rsidRPr="0049204B">
              <w:rPr>
                <w:highlight w:val="yellow"/>
              </w:rPr>
              <w:t xml:space="preserve"> </w:t>
            </w:r>
            <w:r w:rsidR="0049204B">
              <w:rPr>
                <w:highlight w:val="yellow"/>
              </w:rPr>
              <w:t>Ensure a</w:t>
            </w:r>
            <w:r w:rsidR="0049204B" w:rsidRPr="0049204B">
              <w:rPr>
                <w:highlight w:val="yellow"/>
              </w:rPr>
              <w:t xml:space="preserve">bility to test advanced headlamps </w:t>
            </w:r>
            <w:r w:rsidR="0049204B">
              <w:rPr>
                <w:highlight w:val="yellow"/>
              </w:rPr>
              <w:t xml:space="preserve">(e.g. </w:t>
            </w:r>
            <w:r w:rsidR="0049204B" w:rsidRPr="0049204B">
              <w:rPr>
                <w:highlight w:val="yellow"/>
              </w:rPr>
              <w:t>LED- and laser light headlamps</w:t>
            </w:r>
            <w:r w:rsidR="0049204B">
              <w:rPr>
                <w:highlight w:val="yellow"/>
              </w:rPr>
              <w:t>)?</w:t>
            </w:r>
          </w:p>
          <w:p w14:paraId="4C508834" w14:textId="77777777" w:rsidR="00F73F6C" w:rsidRDefault="00F73F6C" w:rsidP="00F73F6C">
            <w:pPr>
              <w:pStyle w:val="ListParagraph"/>
              <w:numPr>
                <w:ilvl w:val="0"/>
                <w:numId w:val="4"/>
              </w:numPr>
              <w:ind w:left="316" w:hanging="142"/>
              <w:rPr>
                <w:highlight w:val="yellow"/>
              </w:rPr>
            </w:pPr>
            <w:r w:rsidRPr="005E6CDE">
              <w:rPr>
                <w:highlight w:val="yellow"/>
              </w:rPr>
              <w:t>Braking: extrapolation methods and regenerative braking?</w:t>
            </w:r>
          </w:p>
          <w:p w14:paraId="32F4C88E" w14:textId="268E4218" w:rsidR="00A71FFA" w:rsidRPr="005E6CDE" w:rsidRDefault="00A71FFA" w:rsidP="00F73F6C">
            <w:pPr>
              <w:pStyle w:val="ListParagraph"/>
              <w:numPr>
                <w:ilvl w:val="0"/>
                <w:numId w:val="4"/>
              </w:numPr>
              <w:ind w:left="316" w:hanging="142"/>
              <w:rPr>
                <w:highlight w:val="yellow"/>
              </w:rPr>
            </w:pPr>
            <w:r>
              <w:rPr>
                <w:highlight w:val="yellow"/>
              </w:rPr>
              <w:t>Other items?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BEB591" w14:textId="77777777" w:rsidR="00F73F6C" w:rsidRDefault="00F73F6C" w:rsidP="006429D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486E8A" w14:textId="77777777" w:rsidR="00F73F6C" w:rsidRDefault="00F73F6C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C58F81" w14:textId="77777777" w:rsidR="00F73F6C" w:rsidRDefault="00F73F6C" w:rsidP="006429D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F2CF1" w14:textId="77777777" w:rsidR="00F73F6C" w:rsidRDefault="00F73F6C" w:rsidP="006429D5">
            <w:pPr>
              <w:jc w:val="center"/>
            </w:pPr>
            <w:r>
              <w:t>Annex I (tests)</w:t>
            </w:r>
          </w:p>
        </w:tc>
      </w:tr>
      <w:tr w:rsidR="00A71FFA" w14:paraId="29D72F48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AA6771" w14:textId="3579531C" w:rsidR="00A71FFA" w:rsidRPr="001E5561" w:rsidRDefault="0049204B" w:rsidP="0049204B">
            <w:r w:rsidRPr="0049204B">
              <w:rPr>
                <w:highlight w:val="yellow"/>
              </w:rPr>
              <w:t xml:space="preserve">Is there a need to better define minimum </w:t>
            </w:r>
            <w:r>
              <w:rPr>
                <w:highlight w:val="yellow"/>
              </w:rPr>
              <w:t>requirements</w:t>
            </w:r>
            <w:r w:rsidRPr="0049204B">
              <w:rPr>
                <w:highlight w:val="yellow"/>
              </w:rPr>
              <w:t xml:space="preserve"> for an OBD-tester?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4F32FE" w14:textId="77777777" w:rsidR="00A71FFA" w:rsidRDefault="00A71FFA" w:rsidP="00F73F6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64050D" w14:textId="3E57FED9" w:rsidR="00A71FFA" w:rsidRDefault="0049204B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22A834" w14:textId="77777777" w:rsidR="00A71FFA" w:rsidRDefault="00A71FFA" w:rsidP="00F73F6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B9CB1" w14:textId="3584E9FD" w:rsidR="00A71FFA" w:rsidRDefault="0049204B" w:rsidP="0049204B">
            <w:pPr>
              <w:jc w:val="center"/>
            </w:pPr>
            <w:r>
              <w:t>Annex III (equipment)</w:t>
            </w:r>
          </w:p>
        </w:tc>
      </w:tr>
      <w:tr w:rsidR="001E5561" w14:paraId="1DE975B2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B5F2CD" w14:textId="77777777" w:rsidR="001E5561" w:rsidRPr="001E5561" w:rsidRDefault="001E5561" w:rsidP="00553900">
            <w:r w:rsidRPr="001E5561">
              <w:t>Training of inspectors for PTI</w:t>
            </w:r>
            <w:r>
              <w:t xml:space="preserve"> </w:t>
            </w:r>
            <w:r w:rsidRPr="001E5561">
              <w:rPr>
                <w:highlight w:val="yellow"/>
              </w:rPr>
              <w:t>– any need for update?</w:t>
            </w:r>
          </w:p>
          <w:p w14:paraId="20308288" w14:textId="77777777" w:rsidR="001E5561" w:rsidRPr="001E5561" w:rsidRDefault="001E5561" w:rsidP="00553900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i/>
              </w:rPr>
            </w:pPr>
            <w:r w:rsidRPr="001E5561">
              <w:rPr>
                <w:i/>
              </w:rPr>
              <w:t>Conflict of interests</w:t>
            </w:r>
          </w:p>
          <w:p w14:paraId="000C7001" w14:textId="77777777" w:rsidR="001E5561" w:rsidRPr="001E5561" w:rsidRDefault="001E5561" w:rsidP="00553900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i/>
              </w:rPr>
            </w:pPr>
            <w:r w:rsidRPr="001E5561">
              <w:rPr>
                <w:i/>
              </w:rPr>
              <w:t>Qualification of inspectors</w:t>
            </w:r>
          </w:p>
          <w:p w14:paraId="78318C9C" w14:textId="77777777" w:rsidR="001E5561" w:rsidRPr="001E5561" w:rsidRDefault="001E5561" w:rsidP="00553900">
            <w:pPr>
              <w:pStyle w:val="ListParagraph"/>
              <w:numPr>
                <w:ilvl w:val="0"/>
                <w:numId w:val="7"/>
              </w:numPr>
              <w:ind w:left="174" w:hanging="142"/>
            </w:pPr>
            <w:r w:rsidRPr="001E5561">
              <w:rPr>
                <w:i/>
              </w:rPr>
              <w:t>Support of inspectors by of state-of-the-art equipment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EC29FF" w14:textId="77777777" w:rsidR="001E5561" w:rsidRDefault="001E5561" w:rsidP="00F73F6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213DD59" w14:textId="77777777" w:rsidR="001E5561" w:rsidRDefault="001E5561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1F84A3" w14:textId="77777777" w:rsidR="001E5561" w:rsidRDefault="001E5561" w:rsidP="00F73F6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02ADF" w14:textId="77777777" w:rsidR="001E5561" w:rsidRDefault="001E5561" w:rsidP="00F73F6C">
            <w:pPr>
              <w:jc w:val="center"/>
            </w:pPr>
            <w:r>
              <w:t>Art. 13 and Annex IV – are the requirements sufficient?</w:t>
            </w:r>
          </w:p>
        </w:tc>
      </w:tr>
      <w:tr w:rsidR="001E5561" w14:paraId="712ADA0D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54E87C" w14:textId="77777777" w:rsidR="001E5561" w:rsidRPr="001E5561" w:rsidRDefault="001E5561" w:rsidP="00553900">
            <w:r w:rsidRPr="001E5561">
              <w:rPr>
                <w:highlight w:val="yellow"/>
              </w:rPr>
              <w:t>Independence of auditors – any need for update?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67A713" w14:textId="77777777" w:rsidR="001E5561" w:rsidRDefault="001E5561" w:rsidP="00F73F6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816F6D" w14:textId="77777777" w:rsidR="001E5561" w:rsidRDefault="001E5561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9C7540" w14:textId="77777777" w:rsidR="001E5561" w:rsidRDefault="001E5561" w:rsidP="00F73F6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AEB1F" w14:textId="77777777" w:rsidR="001E5561" w:rsidRDefault="001E5561" w:rsidP="001E5561">
            <w:pPr>
              <w:jc w:val="center"/>
            </w:pPr>
            <w:r>
              <w:t>Art. 14 and Annex V – are the requirements sufficient?</w:t>
            </w:r>
          </w:p>
        </w:tc>
      </w:tr>
      <w:tr w:rsidR="009E1BD0" w14:paraId="4B01CB31" w14:textId="77777777" w:rsidTr="00C670B1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FC241B" w14:textId="77777777" w:rsidR="009E1BD0" w:rsidRPr="009E1BD0" w:rsidRDefault="009E1BD0" w:rsidP="00F73F6C">
            <w:pPr>
              <w:rPr>
                <w:b/>
              </w:rPr>
            </w:pPr>
            <w:r w:rsidRPr="009E1BD0">
              <w:rPr>
                <w:rFonts w:cstheme="minorHAnsi"/>
                <w:b/>
              </w:rPr>
              <w:t>Introduce new test procedures</w:t>
            </w:r>
          </w:p>
        </w:tc>
      </w:tr>
      <w:tr w:rsidR="00F73F6C" w14:paraId="2D80E9A3" w14:textId="77777777" w:rsidTr="00C3046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F729" w14:textId="77777777" w:rsidR="00F73F6C" w:rsidRDefault="00F73F6C" w:rsidP="00F73F6C">
            <w:pPr>
              <w:rPr>
                <w:rFonts w:cstheme="minorHAnsi"/>
              </w:rPr>
            </w:pPr>
            <w:r>
              <w:rPr>
                <w:rFonts w:cstheme="minorHAnsi"/>
              </w:rPr>
              <w:t>Adapt PTI to electric and hybrid vehicles</w:t>
            </w:r>
          </w:p>
          <w:p w14:paraId="1E02AA00" w14:textId="77777777" w:rsidR="00F73F6C" w:rsidRPr="00872441" w:rsidRDefault="00F73F6C" w:rsidP="00F73F6C">
            <w:pPr>
              <w:pStyle w:val="ListParagraph"/>
              <w:numPr>
                <w:ilvl w:val="0"/>
                <w:numId w:val="4"/>
              </w:numPr>
              <w:ind w:left="174" w:hanging="142"/>
            </w:pPr>
            <w:r w:rsidRPr="00872441">
              <w:t>Safety of components (high-voltage batteries, etc.)</w:t>
            </w:r>
          </w:p>
          <w:p w14:paraId="67408E20" w14:textId="77777777" w:rsidR="00F73F6C" w:rsidRPr="005C22A4" w:rsidRDefault="00F73F6C" w:rsidP="00F73F6C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cstheme="minorHAnsi"/>
                <w:highlight w:val="yellow"/>
              </w:rPr>
            </w:pPr>
            <w:r w:rsidRPr="00872441">
              <w:t>Environmental performance</w:t>
            </w:r>
            <w:r>
              <w:t>/ durability</w:t>
            </w:r>
            <w:r w:rsidRPr="00872441">
              <w:t xml:space="preserve"> of batteries (SoH)</w:t>
            </w:r>
            <w:r>
              <w:t xml:space="preserve">, </w:t>
            </w:r>
            <w:r w:rsidRPr="005C22A4">
              <w:rPr>
                <w:highlight w:val="yellow"/>
              </w:rPr>
              <w:t>following definition in Euro 7</w:t>
            </w:r>
            <w:r>
              <w:rPr>
                <w:highlight w:val="yellow"/>
              </w:rPr>
              <w:t xml:space="preserve"> (impl. act)</w:t>
            </w:r>
          </w:p>
          <w:p w14:paraId="32995072" w14:textId="77777777" w:rsidR="00F73F6C" w:rsidRPr="00872441" w:rsidRDefault="00F73F6C" w:rsidP="00F73F6C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cstheme="minorHAnsi"/>
              </w:rPr>
            </w:pPr>
            <w:r w:rsidRPr="00334B46">
              <w:rPr>
                <w:highlight w:val="yellow"/>
              </w:rPr>
              <w:t xml:space="preserve">Provisions to make necessary standardised data </w:t>
            </w:r>
            <w:r>
              <w:rPr>
                <w:highlight w:val="yellow"/>
              </w:rPr>
              <w:t xml:space="preserve">and their interpretation </w:t>
            </w:r>
            <w:r w:rsidRPr="00334B46">
              <w:rPr>
                <w:highlight w:val="yellow"/>
              </w:rPr>
              <w:t>available</w:t>
            </w:r>
            <w:r w:rsidRPr="00334B46">
              <w:rPr>
                <w:rStyle w:val="FootnoteReference"/>
                <w:highlight w:val="yellow"/>
              </w:rPr>
              <w:footnoteReference w:id="2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F1B1" w14:textId="77777777" w:rsidR="00F73F6C" w:rsidRDefault="00F73F6C" w:rsidP="00F73F6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E9B1" w14:textId="77777777" w:rsidR="00F73F6C" w:rsidRDefault="00F73F6C" w:rsidP="00F73F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15B3" w14:textId="77777777" w:rsidR="00F73F6C" w:rsidRDefault="00F73F6C" w:rsidP="00F73F6C">
            <w:pPr>
              <w:jc w:val="center"/>
            </w:pPr>
            <w:r>
              <w:sym w:font="Wingdings" w:char="F0FC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28A64B2C" w14:textId="77777777" w:rsidR="00F73F6C" w:rsidRDefault="00F73F6C" w:rsidP="00F73F6C">
            <w:r w:rsidRPr="000B5018">
              <w:rPr>
                <w:b/>
              </w:rPr>
              <w:t>Annex I</w:t>
            </w:r>
            <w:r>
              <w:t xml:space="preserve"> (tests) + III (equipment) and IV (training of inspectors)?</w:t>
            </w:r>
          </w:p>
          <w:p w14:paraId="0E9E93FB" w14:textId="77777777" w:rsidR="00F73F6C" w:rsidRDefault="00F73F6C" w:rsidP="00F73F6C">
            <w:pPr>
              <w:rPr>
                <w:i/>
              </w:rPr>
            </w:pPr>
          </w:p>
          <w:p w14:paraId="749FB21D" w14:textId="77777777" w:rsidR="00F73F6C" w:rsidRDefault="00F73F6C" w:rsidP="00F73F6C">
            <w:r w:rsidRPr="000B5018">
              <w:rPr>
                <w:i/>
              </w:rPr>
              <w:t>(2014/47 Annex II?)</w:t>
            </w:r>
          </w:p>
        </w:tc>
      </w:tr>
      <w:tr w:rsidR="00F73F6C" w14:paraId="4AE9531F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E9A8" w14:textId="77777777" w:rsidR="00F73F6C" w:rsidRPr="00CD0D07" w:rsidRDefault="00F73F6C" w:rsidP="00F73F6C">
            <w:pPr>
              <w:rPr>
                <w:rFonts w:cstheme="minorHAnsi"/>
              </w:rPr>
            </w:pPr>
            <w:r w:rsidRPr="00CD0D07">
              <w:rPr>
                <w:rFonts w:cstheme="minorHAnsi"/>
              </w:rPr>
              <w:t xml:space="preserve">Updates reflecting new requirements in </w:t>
            </w:r>
            <w:r w:rsidRPr="00CD0D07">
              <w:rPr>
                <w:rFonts w:cstheme="minorHAnsi"/>
              </w:rPr>
              <w:lastRenderedPageBreak/>
              <w:t>GSR</w:t>
            </w:r>
            <w:r w:rsidR="00F52912">
              <w:rPr>
                <w:rFonts w:cstheme="minorHAnsi"/>
              </w:rPr>
              <w:t xml:space="preserve"> (implementing/delegated acts)</w:t>
            </w:r>
            <w:r w:rsidRPr="00CD0D07">
              <w:rPr>
                <w:rFonts w:cstheme="minorHAnsi"/>
              </w:rPr>
              <w:t>:</w:t>
            </w:r>
          </w:p>
          <w:p w14:paraId="3D03AAE6" w14:textId="77777777" w:rsidR="00F73F6C" w:rsidRPr="00E97AFF" w:rsidRDefault="00F73F6C" w:rsidP="00F73F6C">
            <w:pPr>
              <w:pStyle w:val="ListParagraph"/>
              <w:numPr>
                <w:ilvl w:val="0"/>
                <w:numId w:val="3"/>
              </w:numPr>
              <w:ind w:left="174" w:hanging="142"/>
            </w:pPr>
            <w:r w:rsidRPr="00CD0D07">
              <w:rPr>
                <w:rFonts w:cstheme="minorHAnsi"/>
                <w:lang w:eastAsia="en-GB"/>
              </w:rPr>
              <w:t xml:space="preserve">Introduce </w:t>
            </w:r>
            <w:r w:rsidRPr="00B54BA9">
              <w:rPr>
                <w:rFonts w:cstheme="minorHAnsi"/>
                <w:highlight w:val="yellow"/>
                <w:lang w:eastAsia="en-GB"/>
              </w:rPr>
              <w:t>basic requirements for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CD0D07">
              <w:rPr>
                <w:rFonts w:cstheme="minorHAnsi"/>
                <w:lang w:eastAsia="en-GB"/>
              </w:rPr>
              <w:t xml:space="preserve">function </w:t>
            </w:r>
            <w:r w:rsidRPr="00D12CBF">
              <w:rPr>
                <w:rFonts w:cstheme="minorHAnsi"/>
                <w:highlight w:val="yellow"/>
                <w:lang w:eastAsia="en-GB"/>
              </w:rPr>
              <w:t>and software integrity</w:t>
            </w:r>
            <w:r w:rsidRPr="00CD0D07">
              <w:rPr>
                <w:rFonts w:cstheme="minorHAnsi"/>
                <w:lang w:eastAsia="en-GB"/>
              </w:rPr>
              <w:t xml:space="preserve"> test of </w:t>
            </w:r>
            <w:r w:rsidRPr="00E97AFF">
              <w:rPr>
                <w:rFonts w:cstheme="minorHAnsi"/>
                <w:highlight w:val="yellow"/>
                <w:lang w:eastAsia="en-GB"/>
              </w:rPr>
              <w:t>all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CD0D07">
              <w:rPr>
                <w:rFonts w:cstheme="minorHAnsi"/>
                <w:lang w:eastAsia="en-GB"/>
              </w:rPr>
              <w:t xml:space="preserve">safety-relevant electronic </w:t>
            </w:r>
            <w:r w:rsidRPr="00E97AFF">
              <w:rPr>
                <w:rFonts w:cstheme="minorHAnsi"/>
                <w:highlight w:val="yellow"/>
                <w:lang w:eastAsia="en-GB"/>
              </w:rPr>
              <w:t>systems</w:t>
            </w:r>
            <w:r>
              <w:rPr>
                <w:rFonts w:cstheme="minorHAnsi"/>
                <w:lang w:eastAsia="en-GB"/>
              </w:rPr>
              <w:t xml:space="preserve"> &amp; </w:t>
            </w:r>
            <w:r w:rsidRPr="00CD0D07">
              <w:rPr>
                <w:rFonts w:cstheme="minorHAnsi"/>
                <w:lang w:eastAsia="en-GB"/>
              </w:rPr>
              <w:t>components</w:t>
            </w:r>
            <w:r>
              <w:rPr>
                <w:rFonts w:cstheme="minorHAnsi"/>
                <w:lang w:eastAsia="en-GB"/>
              </w:rPr>
              <w:t>, where applicable to newly type-approved vehicles</w:t>
            </w:r>
          </w:p>
          <w:p w14:paraId="50BFFD5D" w14:textId="77777777" w:rsidR="00F73F6C" w:rsidRPr="00D12CBF" w:rsidRDefault="00F73F6C" w:rsidP="00F73F6C">
            <w:pPr>
              <w:pStyle w:val="ListParagraph"/>
              <w:numPr>
                <w:ilvl w:val="0"/>
                <w:numId w:val="3"/>
              </w:numPr>
              <w:ind w:left="174" w:hanging="142"/>
              <w:rPr>
                <w:highlight w:val="yellow"/>
              </w:rPr>
            </w:pPr>
            <w:r w:rsidRPr="00D12CBF">
              <w:rPr>
                <w:rFonts w:cstheme="minorHAnsi"/>
                <w:highlight w:val="yellow"/>
                <w:lang w:eastAsia="en-GB"/>
              </w:rPr>
              <w:t xml:space="preserve">ref. to </w:t>
            </w:r>
            <w:r w:rsidRPr="00D12CBF">
              <w:rPr>
                <w:highlight w:val="yellow"/>
              </w:rPr>
              <w:t>ISO 20730-1:2021</w:t>
            </w:r>
            <w:r w:rsidRPr="00D12CBF">
              <w:rPr>
                <w:rStyle w:val="FootnoteReference"/>
                <w:highlight w:val="yellow"/>
              </w:rPr>
              <w:footnoteReference w:id="3"/>
            </w:r>
            <w:r w:rsidRPr="00D12CBF">
              <w:rPr>
                <w:highlight w:val="yellow"/>
              </w:rPr>
              <w:t xml:space="preserve"> for tests via electronic vehicle interface (ePTI)?</w:t>
            </w:r>
          </w:p>
          <w:p w14:paraId="7067C162" w14:textId="77777777" w:rsidR="00F73F6C" w:rsidRPr="00B54BA9" w:rsidRDefault="00F73F6C" w:rsidP="00F73F6C">
            <w:pPr>
              <w:pStyle w:val="ListParagraph"/>
              <w:numPr>
                <w:ilvl w:val="0"/>
                <w:numId w:val="3"/>
              </w:numPr>
              <w:ind w:left="174" w:hanging="142"/>
              <w:rPr>
                <w:i/>
              </w:rPr>
            </w:pPr>
            <w:r w:rsidRPr="00D12CBF">
              <w:rPr>
                <w:i/>
                <w:highlight w:val="yellow"/>
              </w:rPr>
              <w:t>Details to be defined in impl. or del. acts to adapt requirements to technical progress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BC52" w14:textId="77777777" w:rsidR="00F73F6C" w:rsidRDefault="00F73F6C" w:rsidP="00F73F6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6908" w14:textId="77777777" w:rsidR="00F73F6C" w:rsidRDefault="00F73F6C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508A" w14:textId="77777777" w:rsidR="00F73F6C" w:rsidRDefault="00F73F6C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9E7A8E8" w14:textId="77777777" w:rsidR="00F73F6C" w:rsidRPr="00B54BA9" w:rsidRDefault="00F73F6C" w:rsidP="00F73F6C">
            <w:r>
              <w:t xml:space="preserve">New paragraph in </w:t>
            </w:r>
            <w:r w:rsidRPr="00B54BA9">
              <w:rPr>
                <w:b/>
              </w:rPr>
              <w:lastRenderedPageBreak/>
              <w:t>Art. 6</w:t>
            </w:r>
          </w:p>
          <w:p w14:paraId="57479FE6" w14:textId="77777777" w:rsidR="00F73F6C" w:rsidRDefault="00F73F6C" w:rsidP="00F73F6C">
            <w:pPr>
              <w:rPr>
                <w:b/>
              </w:rPr>
            </w:pPr>
          </w:p>
          <w:p w14:paraId="71CE2FAA" w14:textId="77777777" w:rsidR="00F73F6C" w:rsidRDefault="00F73F6C" w:rsidP="00F73F6C">
            <w:r w:rsidRPr="000B5018">
              <w:rPr>
                <w:b/>
              </w:rPr>
              <w:t>Annex I</w:t>
            </w:r>
            <w:r>
              <w:t xml:space="preserve"> (tests) + III (equipment) and IV (training of inspectors)?</w:t>
            </w:r>
          </w:p>
          <w:p w14:paraId="0E07894B" w14:textId="77777777" w:rsidR="00F73F6C" w:rsidRDefault="00F73F6C" w:rsidP="00F73F6C">
            <w:pPr>
              <w:rPr>
                <w:i/>
              </w:rPr>
            </w:pPr>
          </w:p>
          <w:p w14:paraId="522AB186" w14:textId="77777777" w:rsidR="00F73F6C" w:rsidRPr="000B5018" w:rsidRDefault="00F73F6C" w:rsidP="00F73F6C">
            <w:pPr>
              <w:rPr>
                <w:i/>
              </w:rPr>
            </w:pPr>
            <w:r w:rsidRPr="000B5018">
              <w:rPr>
                <w:i/>
              </w:rPr>
              <w:t>(2014/47 Annex II?)</w:t>
            </w:r>
          </w:p>
        </w:tc>
      </w:tr>
      <w:tr w:rsidR="00334B46" w14:paraId="09C39747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A63F" w14:textId="77777777" w:rsidR="00334B46" w:rsidRPr="00334B46" w:rsidRDefault="00334B46" w:rsidP="00334B46">
            <w:pPr>
              <w:rPr>
                <w:rFonts w:cstheme="minorHAnsi"/>
                <w:highlight w:val="yellow"/>
              </w:rPr>
            </w:pPr>
            <w:r w:rsidRPr="00334B46">
              <w:rPr>
                <w:rFonts w:cstheme="minorHAnsi"/>
                <w:highlight w:val="yellow"/>
              </w:rPr>
              <w:lastRenderedPageBreak/>
              <w:t>Updates reflecting proposed new Euro 7 requirements regarding</w:t>
            </w:r>
          </w:p>
          <w:p w14:paraId="09C4C4DD" w14:textId="77777777" w:rsidR="00334B46" w:rsidRPr="00334B46" w:rsidRDefault="00334B46" w:rsidP="00334B46">
            <w:pPr>
              <w:pStyle w:val="ListParagraph"/>
              <w:numPr>
                <w:ilvl w:val="0"/>
                <w:numId w:val="3"/>
              </w:numPr>
              <w:ind w:left="174" w:hanging="142"/>
              <w:rPr>
                <w:rFonts w:cstheme="minorHAnsi"/>
                <w:highlight w:val="yellow"/>
                <w:lang w:eastAsia="en-GB"/>
              </w:rPr>
            </w:pPr>
            <w:r w:rsidRPr="00334B46">
              <w:rPr>
                <w:rFonts w:cstheme="minorHAnsi"/>
                <w:highlight w:val="yellow"/>
                <w:lang w:eastAsia="en-GB"/>
              </w:rPr>
              <w:t>On-board monitoring (OBM) of emissions</w:t>
            </w:r>
          </w:p>
          <w:p w14:paraId="5CC0FD11" w14:textId="77777777" w:rsidR="00334B46" w:rsidRPr="00334B46" w:rsidRDefault="00334B46" w:rsidP="00334B46">
            <w:pPr>
              <w:pStyle w:val="ListParagraph"/>
              <w:numPr>
                <w:ilvl w:val="0"/>
                <w:numId w:val="3"/>
              </w:numPr>
              <w:ind w:left="174" w:hanging="142"/>
              <w:rPr>
                <w:rFonts w:cstheme="minorHAnsi"/>
                <w:lang w:eastAsia="en-GB"/>
              </w:rPr>
            </w:pPr>
            <w:r w:rsidRPr="00334B46">
              <w:rPr>
                <w:rFonts w:cstheme="minorHAnsi"/>
                <w:highlight w:val="yellow"/>
                <w:lang w:eastAsia="en-GB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6A83" w14:textId="77777777" w:rsidR="00334B46" w:rsidRDefault="00334B46" w:rsidP="00334B4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0EA9" w14:textId="77777777" w:rsidR="00334B46" w:rsidRDefault="00334B46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58F6" w14:textId="77777777" w:rsidR="00334B46" w:rsidRDefault="00334B46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643CC0F6" w14:textId="77777777" w:rsidR="00334B46" w:rsidRPr="00B54BA9" w:rsidRDefault="00B54BA9" w:rsidP="00334B46">
            <w:r w:rsidRPr="00B54BA9">
              <w:t>As above</w:t>
            </w:r>
            <w:r>
              <w:t>?</w:t>
            </w:r>
          </w:p>
        </w:tc>
      </w:tr>
      <w:tr w:rsidR="00334B46" w14:paraId="7CBDD4E1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4BBD" w14:textId="3B7C264D" w:rsidR="00334B46" w:rsidRDefault="00334B46" w:rsidP="00334B46">
            <w:r w:rsidRPr="002340F4">
              <w:t xml:space="preserve">PN-testing </w:t>
            </w:r>
            <w:r>
              <w:t xml:space="preserve">of LDV and HDV </w:t>
            </w:r>
            <w:r w:rsidRPr="002340F4">
              <w:t>(Diesel</w:t>
            </w:r>
            <w:r w:rsidR="0030512B">
              <w:t>, possibly petrol?</w:t>
            </w:r>
            <w:r w:rsidRPr="002340F4">
              <w:t>)</w:t>
            </w:r>
            <w:r>
              <w:t>, based on COM Recommendation</w:t>
            </w:r>
          </w:p>
          <w:p w14:paraId="2F8F4693" w14:textId="67BB443C" w:rsidR="0030512B" w:rsidRDefault="0030512B" w:rsidP="00334B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4FB1" w14:textId="77777777" w:rsidR="00334B46" w:rsidRDefault="00334B46" w:rsidP="00334B4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50E6A" w14:textId="77777777" w:rsidR="00334B46" w:rsidRDefault="00334B46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705E6" w14:textId="77777777" w:rsidR="00334B46" w:rsidRDefault="00334B46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8DA1919" w14:textId="77777777" w:rsidR="00334B46" w:rsidRDefault="00334B46" w:rsidP="00334B46">
            <w:r w:rsidRPr="000B5018">
              <w:rPr>
                <w:b/>
              </w:rPr>
              <w:t>Annex I</w:t>
            </w:r>
            <w:r>
              <w:t xml:space="preserve"> (tests) + III (equipment)?</w:t>
            </w:r>
          </w:p>
          <w:p w14:paraId="6201DE66" w14:textId="77777777" w:rsidR="00334B46" w:rsidRDefault="00334B46" w:rsidP="00334B46">
            <w:r w:rsidRPr="000B5018">
              <w:rPr>
                <w:i/>
              </w:rPr>
              <w:t>(2014/47 Ann</w:t>
            </w:r>
            <w:r>
              <w:rPr>
                <w:i/>
              </w:rPr>
              <w:t>ex II</w:t>
            </w:r>
            <w:r w:rsidRPr="000B5018">
              <w:rPr>
                <w:i/>
              </w:rPr>
              <w:t>)</w:t>
            </w:r>
          </w:p>
        </w:tc>
      </w:tr>
      <w:tr w:rsidR="00F41832" w14:paraId="16C861C7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9FA4" w14:textId="77777777" w:rsidR="00A71FFA" w:rsidRDefault="00F41832" w:rsidP="00A71FFA">
            <w:r w:rsidRPr="005B4F44">
              <w:t>NOx testing</w:t>
            </w:r>
            <w:r>
              <w:t xml:space="preserve"> of LDV and HDV (Diesel</w:t>
            </w:r>
            <w:r w:rsidR="002F1B01">
              <w:t xml:space="preserve"> for now</w:t>
            </w:r>
            <w:r w:rsidR="0030512B">
              <w:t>, petrol</w:t>
            </w:r>
            <w:r w:rsidR="002F1B01">
              <w:t xml:space="preserve"> later</w:t>
            </w:r>
            <w:r w:rsidR="0030512B">
              <w:t>?</w:t>
            </w:r>
            <w:r>
              <w:t>)</w:t>
            </w:r>
            <w:r w:rsidR="00A71FFA">
              <w:t>,</w:t>
            </w:r>
            <w:r>
              <w:t xml:space="preserve"> based on ongoing work by the JRC</w:t>
            </w:r>
            <w:r w:rsidR="00A71FFA">
              <w:t>.</w:t>
            </w:r>
          </w:p>
          <w:p w14:paraId="199CB62C" w14:textId="7C129681" w:rsidR="00F41832" w:rsidRDefault="00A71FFA" w:rsidP="00A71FFA">
            <w:pPr>
              <w:pStyle w:val="ListParagraph"/>
              <w:numPr>
                <w:ilvl w:val="0"/>
                <w:numId w:val="3"/>
              </w:numPr>
              <w:ind w:left="174" w:hanging="142"/>
            </w:pPr>
            <w:r w:rsidRPr="00A71FFA">
              <w:rPr>
                <w:rFonts w:cstheme="minorHAnsi"/>
                <w:highlight w:val="yellow"/>
                <w:lang w:eastAsia="en-GB"/>
              </w:rPr>
              <w:t>Is there a need to use of an OBD-tester at PTI, to read out emission-related data for possible malfunctions?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8855" w14:textId="77777777" w:rsidR="00F41832" w:rsidRDefault="00F41832" w:rsidP="00F4183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E379" w14:textId="77777777" w:rsidR="00F41832" w:rsidRDefault="00F41832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5DEE" w14:textId="77777777" w:rsidR="00F41832" w:rsidRDefault="00F41832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EDF5698" w14:textId="77777777" w:rsidR="00F41832" w:rsidRDefault="00F41832" w:rsidP="00F41832">
            <w:r w:rsidRPr="000B5018">
              <w:rPr>
                <w:b/>
              </w:rPr>
              <w:t>Annex I</w:t>
            </w:r>
            <w:r>
              <w:t xml:space="preserve"> (tests) + III (equipment)?</w:t>
            </w:r>
          </w:p>
          <w:p w14:paraId="4909C49C" w14:textId="77777777" w:rsidR="00F41832" w:rsidRDefault="00F41832" w:rsidP="00F41832">
            <w:r w:rsidRPr="000B5018">
              <w:rPr>
                <w:i/>
              </w:rPr>
              <w:t>(2014/47 Ann</w:t>
            </w:r>
            <w:r>
              <w:rPr>
                <w:i/>
              </w:rPr>
              <w:t>ex II</w:t>
            </w:r>
            <w:r w:rsidRPr="000B5018">
              <w:rPr>
                <w:i/>
              </w:rPr>
              <w:t>)</w:t>
            </w:r>
          </w:p>
        </w:tc>
      </w:tr>
      <w:tr w:rsidR="00F41832" w14:paraId="374E63DA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BF40" w14:textId="77777777" w:rsidR="00F41832" w:rsidRDefault="00F41832" w:rsidP="00F41832">
            <w:r>
              <w:t>New test methods</w:t>
            </w:r>
            <w:r w:rsidRPr="00D12CBF">
              <w:rPr>
                <w:rStyle w:val="FootnoteReference"/>
                <w:highlight w:val="yellow"/>
              </w:rPr>
              <w:footnoteReference w:id="4"/>
            </w:r>
            <w:r>
              <w:t>:</w:t>
            </w:r>
          </w:p>
          <w:p w14:paraId="7AC4B750" w14:textId="77777777" w:rsidR="00F41832" w:rsidRPr="005062B5" w:rsidRDefault="00F41832" w:rsidP="00F41832">
            <w:pPr>
              <w:pStyle w:val="ListParagraph"/>
              <w:numPr>
                <w:ilvl w:val="0"/>
                <w:numId w:val="3"/>
              </w:numPr>
              <w:ind w:left="174" w:hanging="142"/>
              <w:rPr>
                <w:rFonts w:cstheme="minorHAnsi"/>
                <w:lang w:eastAsia="en-GB"/>
              </w:rPr>
            </w:pPr>
            <w:r w:rsidRPr="005062B5">
              <w:rPr>
                <w:rFonts w:cstheme="minorHAnsi"/>
                <w:lang w:eastAsia="en-GB"/>
              </w:rPr>
              <w:t>ePTI</w:t>
            </w:r>
            <w:r>
              <w:rPr>
                <w:rFonts w:cstheme="minorHAnsi"/>
                <w:lang w:eastAsia="en-GB"/>
              </w:rPr>
              <w:t xml:space="preserve"> (</w:t>
            </w:r>
            <w:r w:rsidRPr="00D12CBF">
              <w:rPr>
                <w:rFonts w:cstheme="minorHAnsi"/>
                <w:highlight w:val="yellow"/>
                <w:lang w:eastAsia="en-GB"/>
              </w:rPr>
              <w:t xml:space="preserve">ref. to </w:t>
            </w:r>
            <w:r w:rsidRPr="00D12CBF">
              <w:rPr>
                <w:highlight w:val="yellow"/>
              </w:rPr>
              <w:t>20730-1:2021</w:t>
            </w:r>
            <w:r>
              <w:rPr>
                <w:highlight w:val="yellow"/>
              </w:rPr>
              <w:t xml:space="preserve"> and </w:t>
            </w:r>
            <w:r w:rsidRPr="00D12CBF">
              <w:rPr>
                <w:rFonts w:cstheme="minorHAnsi"/>
                <w:highlight w:val="yellow"/>
                <w:lang w:eastAsia="en-GB"/>
              </w:rPr>
              <w:t>ISO 20730-3:2021</w:t>
            </w:r>
            <w:r w:rsidRPr="00D12CBF">
              <w:rPr>
                <w:rStyle w:val="FootnoteReference"/>
                <w:rFonts w:cstheme="minorHAnsi"/>
                <w:highlight w:val="yellow"/>
                <w:lang w:eastAsia="en-GB"/>
              </w:rPr>
              <w:footnoteReference w:id="5"/>
            </w:r>
            <w:r>
              <w:rPr>
                <w:rFonts w:cstheme="minorHAnsi"/>
                <w:lang w:eastAsia="en-GB"/>
              </w:rPr>
              <w:t>)</w:t>
            </w:r>
          </w:p>
          <w:p w14:paraId="67B979B0" w14:textId="67C788E4" w:rsidR="00F41832" w:rsidRPr="00A24365" w:rsidRDefault="00F41832" w:rsidP="00F41832">
            <w:pPr>
              <w:pStyle w:val="ListParagraph"/>
              <w:numPr>
                <w:ilvl w:val="0"/>
                <w:numId w:val="3"/>
              </w:numPr>
              <w:ind w:left="174" w:hanging="142"/>
            </w:pPr>
            <w:r w:rsidRPr="005062B5">
              <w:rPr>
                <w:rFonts w:cstheme="minorHAnsi"/>
                <w:lang w:eastAsia="en-GB"/>
              </w:rPr>
              <w:t>Continuous Technical Inspection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C00F68">
              <w:rPr>
                <w:rFonts w:cstheme="minorHAnsi"/>
                <w:highlight w:val="yellow"/>
                <w:lang w:eastAsia="en-GB"/>
              </w:rPr>
              <w:t>(for autonomous vehicles only?)</w:t>
            </w:r>
            <w:r w:rsidR="0030512B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3811" w14:textId="77777777" w:rsidR="00F41832" w:rsidRDefault="00F41832" w:rsidP="00F4183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9C9ED" w14:textId="77777777" w:rsidR="00F41832" w:rsidRDefault="00F41832" w:rsidP="0010642D">
            <w:pPr>
              <w:pStyle w:val="ListParagraph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3AD09" w14:textId="77777777" w:rsidR="00F41832" w:rsidRDefault="00F41832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20691" w14:textId="77777777" w:rsidR="00F41832" w:rsidRDefault="00F41832" w:rsidP="00F41832"/>
          <w:p w14:paraId="1772A96B" w14:textId="77777777" w:rsidR="00F41832" w:rsidRDefault="00F41832" w:rsidP="00F41832"/>
          <w:p w14:paraId="24DA1EF3" w14:textId="77777777" w:rsidR="00F41832" w:rsidRDefault="00F41832" w:rsidP="00F41832"/>
          <w:p w14:paraId="5EE22924" w14:textId="77777777" w:rsidR="00F41832" w:rsidRDefault="00F41832" w:rsidP="00F41832"/>
          <w:p w14:paraId="25513441" w14:textId="77777777" w:rsidR="00F41832" w:rsidRDefault="00F41832" w:rsidP="00F41832">
            <w:r>
              <w:t>New provisions</w:t>
            </w:r>
          </w:p>
        </w:tc>
      </w:tr>
      <w:tr w:rsidR="00F41832" w14:paraId="0D2F534C" w14:textId="77777777" w:rsidTr="0010642D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6B8D" w14:textId="48BD2B07" w:rsidR="00F41832" w:rsidRPr="00F97C3A" w:rsidRDefault="00F41832" w:rsidP="00F41832">
            <w:pPr>
              <w:ind w:left="32"/>
              <w:rPr>
                <w:rFonts w:cstheme="minorHAnsi"/>
                <w:highlight w:val="yellow"/>
                <w:lang w:eastAsia="en-GB"/>
              </w:rPr>
            </w:pPr>
            <w:r w:rsidRPr="00F97C3A">
              <w:rPr>
                <w:rFonts w:cstheme="minorHAnsi"/>
                <w:highlight w:val="yellow"/>
                <w:lang w:eastAsia="en-GB"/>
              </w:rPr>
              <w:t xml:space="preserve">Incorporate essential parts </w:t>
            </w:r>
            <w:r w:rsidR="002F1B01">
              <w:rPr>
                <w:rFonts w:cstheme="minorHAnsi"/>
                <w:highlight w:val="yellow"/>
                <w:lang w:eastAsia="en-GB"/>
              </w:rPr>
              <w:t xml:space="preserve">(e.g. Art. 5 on procedures) </w:t>
            </w:r>
            <w:r w:rsidRPr="00F97C3A">
              <w:rPr>
                <w:rFonts w:cstheme="minorHAnsi"/>
                <w:highlight w:val="yellow"/>
                <w:lang w:eastAsia="en-GB"/>
              </w:rPr>
              <w:t>of Implementing Regulation 2019/621</w:t>
            </w:r>
            <w:r w:rsidRPr="00F97C3A">
              <w:rPr>
                <w:rStyle w:val="FootnoteReference"/>
                <w:rFonts w:cstheme="minorHAnsi"/>
                <w:highlight w:val="yellow"/>
                <w:lang w:eastAsia="en-GB"/>
              </w:rPr>
              <w:footnoteReference w:id="6"/>
            </w:r>
            <w:r w:rsidRPr="00F97C3A">
              <w:rPr>
                <w:rFonts w:cstheme="minorHAnsi"/>
                <w:highlight w:val="yellow"/>
                <w:lang w:eastAsia="en-GB"/>
              </w:rPr>
              <w:t xml:space="preserve"> on access to relevant technical information into Directive 2014/45 (or a regulation)?</w:t>
            </w:r>
          </w:p>
          <w:p w14:paraId="627FD364" w14:textId="77777777" w:rsidR="00F41832" w:rsidRPr="00F97C3A" w:rsidRDefault="00F41832" w:rsidP="00F41832">
            <w:pPr>
              <w:pStyle w:val="ListParagraph"/>
              <w:numPr>
                <w:ilvl w:val="0"/>
                <w:numId w:val="3"/>
              </w:numPr>
              <w:ind w:left="174" w:hanging="142"/>
              <w:rPr>
                <w:rFonts w:cstheme="minorHAnsi"/>
                <w:highlight w:val="yellow"/>
                <w:lang w:eastAsia="en-GB"/>
              </w:rPr>
            </w:pPr>
            <w:r w:rsidRPr="00F97C3A">
              <w:rPr>
                <w:rFonts w:cstheme="minorHAnsi"/>
                <w:highlight w:val="yellow"/>
                <w:lang w:eastAsia="en-GB"/>
              </w:rPr>
              <w:t>require that relevant data is to be provided free of charge? (Art. 4(3) reads “free of charge or at a reasonable price”)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94FE" w14:textId="77777777" w:rsidR="00F41832" w:rsidRDefault="00F41832" w:rsidP="00F41832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C32B" w14:textId="77777777" w:rsidR="00F41832" w:rsidRDefault="00F41832" w:rsidP="001064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1BDD" w14:textId="77777777" w:rsidR="00F41832" w:rsidRDefault="00F41832" w:rsidP="0010642D">
            <w:pPr>
              <w:jc w:val="center"/>
            </w:pPr>
            <w:r>
              <w:sym w:font="Wingdings" w:char="F0FC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86E5EB" w14:textId="77777777" w:rsidR="00F41832" w:rsidRDefault="00F41832" w:rsidP="00F41832">
            <w:r>
              <w:t>New article(s) or Article 4?</w:t>
            </w:r>
          </w:p>
        </w:tc>
      </w:tr>
    </w:tbl>
    <w:p w14:paraId="57AFCFE9" w14:textId="17FAB2DD" w:rsidR="00A71FFA" w:rsidRDefault="00A71FFA">
      <w:pPr>
        <w:rPr>
          <w:b/>
          <w:sz w:val="24"/>
          <w:szCs w:val="24"/>
        </w:rPr>
      </w:pPr>
    </w:p>
    <w:p w14:paraId="3C98756F" w14:textId="4DDDF93F" w:rsidR="00584DB7" w:rsidRPr="00584DB7" w:rsidRDefault="00584DB7" w:rsidP="00EA4B28">
      <w:pPr>
        <w:jc w:val="both"/>
        <w:rPr>
          <w:b/>
          <w:sz w:val="24"/>
          <w:szCs w:val="24"/>
        </w:rPr>
      </w:pPr>
      <w:r w:rsidRPr="00584DB7">
        <w:rPr>
          <w:b/>
          <w:sz w:val="24"/>
          <w:szCs w:val="24"/>
        </w:rPr>
        <w:t>Follow-up</w:t>
      </w:r>
    </w:p>
    <w:p w14:paraId="3FDDEA48" w14:textId="00E3584A" w:rsidR="007E001D" w:rsidRPr="009F0D90" w:rsidRDefault="009E1BD0" w:rsidP="00872441">
      <w:pPr>
        <w:jc w:val="both"/>
      </w:pPr>
      <w:r>
        <w:t>DG MOVE would welcome comments from Members at</w:t>
      </w:r>
      <w:r w:rsidR="008F4717">
        <w:t>,</w:t>
      </w:r>
      <w:r>
        <w:t xml:space="preserve"> as well as after</w:t>
      </w:r>
      <w:r w:rsidR="008F4717">
        <w:t>,</w:t>
      </w:r>
      <w:r>
        <w:t xml:space="preserve"> the meeting of 5 December. Members will be asked to indicate at least whether they consider the specific measures ‘a must’, ‘useful’, or ‘not important/relevant’,</w:t>
      </w:r>
      <w:r w:rsidR="0030512B">
        <w:t xml:space="preserve"> and possible justification (technical, legal, political feasibility) and further details on these measures</w:t>
      </w:r>
      <w:r>
        <w:t xml:space="preserve"> ideally by the end of the year. Any additional suggestions are welcome. </w:t>
      </w:r>
      <w:r w:rsidR="00584DB7">
        <w:t>The topic will be further discussed in 2023.</w:t>
      </w:r>
    </w:p>
    <w:sectPr w:rsidR="007E001D" w:rsidRPr="009F0D90" w:rsidSect="00236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0E3E" w16cex:dateUtc="2022-11-28T09:38:00Z"/>
  <w16cex:commentExtensible w16cex:durableId="272F0EFA" w16cex:dateUtc="2022-11-28T09:42:00Z"/>
  <w16cex:commentExtensible w16cex:durableId="272F101F" w16cex:dateUtc="2022-11-28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120C7" w16cid:durableId="272F0E3E"/>
  <w16cid:commentId w16cid:paraId="3F90187B" w16cid:durableId="272F0EFA"/>
  <w16cid:commentId w16cid:paraId="6CDB865D" w16cid:durableId="272F10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D16A9" w14:textId="77777777" w:rsidR="009F0D90" w:rsidRDefault="009F0D90" w:rsidP="009F0D90">
      <w:pPr>
        <w:spacing w:after="0" w:line="240" w:lineRule="auto"/>
      </w:pPr>
      <w:r>
        <w:separator/>
      </w:r>
    </w:p>
  </w:endnote>
  <w:endnote w:type="continuationSeparator" w:id="0">
    <w:p w14:paraId="09AFB1B9" w14:textId="77777777" w:rsidR="009F0D90" w:rsidRDefault="009F0D90" w:rsidP="009F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FD64" w14:textId="77777777" w:rsidR="009F0D90" w:rsidRDefault="009F0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91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123A6" w14:textId="7E955F87" w:rsidR="009E1BD0" w:rsidRDefault="009E1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E17F75" w14:textId="77777777" w:rsidR="009F0D90" w:rsidRDefault="009F0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4062" w14:textId="77777777" w:rsidR="009F0D90" w:rsidRDefault="009F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7E300" w14:textId="77777777" w:rsidR="009F0D90" w:rsidRDefault="009F0D90" w:rsidP="009F0D90">
      <w:pPr>
        <w:spacing w:after="0" w:line="240" w:lineRule="auto"/>
      </w:pPr>
      <w:r>
        <w:separator/>
      </w:r>
    </w:p>
  </w:footnote>
  <w:footnote w:type="continuationSeparator" w:id="0">
    <w:p w14:paraId="1C97BA6D" w14:textId="77777777" w:rsidR="009F0D90" w:rsidRDefault="009F0D90" w:rsidP="009F0D90">
      <w:pPr>
        <w:spacing w:after="0" w:line="240" w:lineRule="auto"/>
      </w:pPr>
      <w:r>
        <w:continuationSeparator/>
      </w:r>
    </w:p>
  </w:footnote>
  <w:footnote w:id="1">
    <w:p w14:paraId="378AE4C1" w14:textId="77777777" w:rsidR="00E20208" w:rsidRPr="00E20208" w:rsidRDefault="00E20208">
      <w:pPr>
        <w:pStyle w:val="FootnoteText"/>
      </w:pPr>
      <w:r>
        <w:rPr>
          <w:rStyle w:val="FootnoteReference"/>
        </w:rPr>
        <w:footnoteRef/>
      </w:r>
      <w:r>
        <w:t xml:space="preserve"> Cf. </w:t>
      </w:r>
      <w:hyperlink r:id="rId1" w:history="1">
        <w:r>
          <w:rPr>
            <w:rStyle w:val="Hyperlink"/>
          </w:rPr>
          <w:t>Study on the inclusion of light trailers and two- or three-wheel vehicles in the scope of the periodic roadworthiness testing - Publications Office of the EU (europa.eu)</w:t>
        </w:r>
      </w:hyperlink>
    </w:p>
  </w:footnote>
  <w:footnote w:id="2">
    <w:p w14:paraId="66769814" w14:textId="77777777" w:rsidR="00F73F6C" w:rsidRPr="00872441" w:rsidRDefault="00F73F6C">
      <w:pPr>
        <w:pStyle w:val="FootnoteText"/>
      </w:pPr>
      <w:r>
        <w:rPr>
          <w:rStyle w:val="FootnoteReference"/>
        </w:rPr>
        <w:footnoteRef/>
      </w:r>
      <w:r>
        <w:t xml:space="preserve"> if not provided for by regulation on access to in-vehicle data</w:t>
      </w:r>
    </w:p>
  </w:footnote>
  <w:footnote w:id="3">
    <w:p w14:paraId="6EB51A8B" w14:textId="77777777" w:rsidR="00F73F6C" w:rsidRPr="002C697E" w:rsidRDefault="00F73F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D717E">
          <w:rPr>
            <w:rStyle w:val="Hyperlink"/>
          </w:rPr>
          <w:t>https://www.iso.org/standard/73801.html</w:t>
        </w:r>
      </w:hyperlink>
      <w:r>
        <w:t xml:space="preserve"> </w:t>
      </w:r>
      <w:r w:rsidRPr="002C697E">
        <w:t>Road vehicles — Vehicle interface for electronic Periodic Technical Inspection (ePTI) — Part 1: Application and communication requirements</w:t>
      </w:r>
    </w:p>
  </w:footnote>
  <w:footnote w:id="4">
    <w:p w14:paraId="34C83A30" w14:textId="77777777" w:rsidR="00F41832" w:rsidRDefault="00F41832">
      <w:pPr>
        <w:pStyle w:val="FootnoteText"/>
        <w:rPr>
          <w:rFonts w:cstheme="minorHAnsi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  <w:lang w:eastAsia="en-GB"/>
        </w:rPr>
        <w:t xml:space="preserve">subject to </w:t>
      </w:r>
      <w:r w:rsidRPr="00C00F68">
        <w:rPr>
          <w:rFonts w:cstheme="minorHAnsi"/>
          <w:lang w:eastAsia="en-GB"/>
        </w:rPr>
        <w:t>independent and trustworthy (remote) access to in-vehicle (diagnostic) data and functions for sovereign authorities</w:t>
      </w:r>
      <w:r>
        <w:rPr>
          <w:rFonts w:cstheme="minorHAnsi"/>
          <w:lang w:eastAsia="en-GB"/>
        </w:rPr>
        <w:t xml:space="preserve"> – to be provided for either:</w:t>
      </w:r>
    </w:p>
    <w:p w14:paraId="006D084D" w14:textId="77777777" w:rsidR="00F41832" w:rsidRDefault="00F41832" w:rsidP="00B177DE">
      <w:pPr>
        <w:pStyle w:val="FootnoteText"/>
        <w:numPr>
          <w:ilvl w:val="0"/>
          <w:numId w:val="5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In regulation on access to in-vehicle data, or</w:t>
      </w:r>
    </w:p>
    <w:p w14:paraId="71E422AC" w14:textId="77777777" w:rsidR="00F41832" w:rsidRPr="00C00F68" w:rsidRDefault="00F41832" w:rsidP="00B177DE">
      <w:pPr>
        <w:pStyle w:val="FootnoteText"/>
        <w:numPr>
          <w:ilvl w:val="0"/>
          <w:numId w:val="5"/>
        </w:numPr>
      </w:pPr>
      <w:r>
        <w:rPr>
          <w:rFonts w:cstheme="minorHAnsi"/>
          <w:lang w:eastAsia="en-GB"/>
        </w:rPr>
        <w:t>As part of this revision (directive or regulation)</w:t>
      </w:r>
    </w:p>
  </w:footnote>
  <w:footnote w:id="5">
    <w:p w14:paraId="5813233C" w14:textId="77777777" w:rsidR="00F41832" w:rsidRPr="005062B5" w:rsidRDefault="00F418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D717E">
          <w:rPr>
            <w:rStyle w:val="Hyperlink"/>
          </w:rPr>
          <w:t>https://www.iso.org/standard/78388.html</w:t>
        </w:r>
      </w:hyperlink>
      <w:r>
        <w:t xml:space="preserve"> </w:t>
      </w:r>
      <w:r w:rsidRPr="005062B5">
        <w:t>Road vehicles — Vehicle interface for electronic Periodic Technical Inspection (ePTI) — Part 3: Data definitions</w:t>
      </w:r>
    </w:p>
  </w:footnote>
  <w:footnote w:id="6">
    <w:p w14:paraId="713B98D3" w14:textId="77777777" w:rsidR="00F41832" w:rsidRPr="0013530E" w:rsidRDefault="00F418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6D717E">
          <w:rPr>
            <w:rStyle w:val="Hyperlink"/>
          </w:rPr>
          <w:t>https://eur-lex.europa.eu/eli/reg_impl/2019/621/oj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0A55" w14:textId="77777777" w:rsidR="009F0D90" w:rsidRDefault="009F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2433" w14:textId="11222648" w:rsidR="009F0D90" w:rsidRDefault="009F0D90">
    <w:pPr>
      <w:pStyle w:val="Header"/>
    </w:pPr>
    <w:r>
      <w:t>2</w:t>
    </w:r>
    <w:r w:rsidR="001467D2">
      <w:t>8</w:t>
    </w:r>
    <w:r>
      <w:t xml:space="preserve"> November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B50A" w14:textId="77777777" w:rsidR="009F0D90" w:rsidRDefault="009F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D82"/>
    <w:multiLevelType w:val="hybridMultilevel"/>
    <w:tmpl w:val="2DECFE9A"/>
    <w:lvl w:ilvl="0" w:tplc="DEA87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B84"/>
    <w:multiLevelType w:val="hybridMultilevel"/>
    <w:tmpl w:val="A510DC2E"/>
    <w:lvl w:ilvl="0" w:tplc="EDAC88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A33"/>
    <w:multiLevelType w:val="hybridMultilevel"/>
    <w:tmpl w:val="5BB8229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5D65"/>
    <w:multiLevelType w:val="hybridMultilevel"/>
    <w:tmpl w:val="58644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14AC"/>
    <w:multiLevelType w:val="hybridMultilevel"/>
    <w:tmpl w:val="4D3A2612"/>
    <w:lvl w:ilvl="0" w:tplc="4288B182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85C2833"/>
    <w:multiLevelType w:val="hybridMultilevel"/>
    <w:tmpl w:val="E2BE1548"/>
    <w:lvl w:ilvl="0" w:tplc="08090003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3">
      <w:numFmt w:val="bullet"/>
      <w:lvlText w:val="-"/>
      <w:lvlJc w:val="left"/>
      <w:pPr>
        <w:ind w:left="1800" w:hanging="180"/>
      </w:pPr>
      <w:rPr>
        <w:rFonts w:ascii="Times" w:eastAsia="Times New Roman" w:hAnsi="Times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12477"/>
    <w:multiLevelType w:val="hybridMultilevel"/>
    <w:tmpl w:val="565A4FCA"/>
    <w:lvl w:ilvl="0" w:tplc="0E6EE4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IE" w:vendorID="64" w:dllVersion="0" w:nlCheck="1" w:checkStyle="0"/>
  <w:activeWritingStyle w:appName="MSWord" w:lang="en-IE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0D90"/>
    <w:rsid w:val="000B5018"/>
    <w:rsid w:val="0010642D"/>
    <w:rsid w:val="0013530E"/>
    <w:rsid w:val="001467D2"/>
    <w:rsid w:val="00160DE3"/>
    <w:rsid w:val="001D29D7"/>
    <w:rsid w:val="001E5561"/>
    <w:rsid w:val="0021106A"/>
    <w:rsid w:val="00236F9B"/>
    <w:rsid w:val="002627FB"/>
    <w:rsid w:val="002B637C"/>
    <w:rsid w:val="002C697E"/>
    <w:rsid w:val="002F1B01"/>
    <w:rsid w:val="0030512B"/>
    <w:rsid w:val="00334B46"/>
    <w:rsid w:val="00337E8B"/>
    <w:rsid w:val="003A0DA6"/>
    <w:rsid w:val="00451652"/>
    <w:rsid w:val="0049204B"/>
    <w:rsid w:val="004B279C"/>
    <w:rsid w:val="004B7A93"/>
    <w:rsid w:val="005062B5"/>
    <w:rsid w:val="00533A3D"/>
    <w:rsid w:val="00553900"/>
    <w:rsid w:val="00584DB7"/>
    <w:rsid w:val="005C22A4"/>
    <w:rsid w:val="005E638E"/>
    <w:rsid w:val="005E6CDE"/>
    <w:rsid w:val="005F678E"/>
    <w:rsid w:val="00672B71"/>
    <w:rsid w:val="007A6A40"/>
    <w:rsid w:val="007E001D"/>
    <w:rsid w:val="00872441"/>
    <w:rsid w:val="008F4717"/>
    <w:rsid w:val="009E1BD0"/>
    <w:rsid w:val="009F0D90"/>
    <w:rsid w:val="00A71FFA"/>
    <w:rsid w:val="00B177DE"/>
    <w:rsid w:val="00B54BA9"/>
    <w:rsid w:val="00BD68FB"/>
    <w:rsid w:val="00C00F68"/>
    <w:rsid w:val="00C12BFB"/>
    <w:rsid w:val="00C30463"/>
    <w:rsid w:val="00C55FCB"/>
    <w:rsid w:val="00CD0D07"/>
    <w:rsid w:val="00D07289"/>
    <w:rsid w:val="00D12781"/>
    <w:rsid w:val="00D12CBF"/>
    <w:rsid w:val="00DD03D7"/>
    <w:rsid w:val="00DF3A92"/>
    <w:rsid w:val="00E20208"/>
    <w:rsid w:val="00E97AFF"/>
    <w:rsid w:val="00EA4B28"/>
    <w:rsid w:val="00EE229A"/>
    <w:rsid w:val="00F41832"/>
    <w:rsid w:val="00F52912"/>
    <w:rsid w:val="00F71239"/>
    <w:rsid w:val="00F73F6C"/>
    <w:rsid w:val="00F97C3A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FB81B"/>
  <w15:chartTrackingRefBased/>
  <w15:docId w15:val="{CA43ABF1-9441-492A-A8F9-C983690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90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9F0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90"/>
    <w:rPr>
      <w:lang w:val="en-IE"/>
    </w:rPr>
  </w:style>
  <w:style w:type="paragraph" w:styleId="ListParagraph">
    <w:name w:val="List Paragraph"/>
    <w:basedOn w:val="Normal"/>
    <w:uiPriority w:val="34"/>
    <w:qFormat/>
    <w:rsid w:val="009F0D9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A4B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7A6A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24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441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872441"/>
    <w:rPr>
      <w:vertAlign w:val="superscript"/>
    </w:rPr>
  </w:style>
  <w:style w:type="character" w:styleId="Hyperlink">
    <w:name w:val="Hyperlink"/>
    <w:uiPriority w:val="99"/>
    <w:rsid w:val="00E202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2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92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92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9A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o.org/standard/78388.html" TargetMode="External"/><Relationship Id="rId2" Type="http://schemas.openxmlformats.org/officeDocument/2006/relationships/hyperlink" Target="https://www.iso.org/standard/73801.html" TargetMode="External"/><Relationship Id="rId1" Type="http://schemas.openxmlformats.org/officeDocument/2006/relationships/hyperlink" Target="https://op.europa.eu/en/publication-detail/-/publication/366a32b6-34c2-11e9-8d04-01aa75ed71a1" TargetMode="External"/><Relationship Id="rId4" Type="http://schemas.openxmlformats.org/officeDocument/2006/relationships/hyperlink" Target="https://eur-lex.europa.eu/eli/reg_impl/2019/621/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2700-8EB8-4B19-B0B9-ECD55FD7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5421</Characters>
  <Application>Microsoft Office Word</Application>
  <DocSecurity>0</DocSecurity>
  <Lines>208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SZATMARI Peter (MOVE)</dc:creator>
  <cp:keywords/>
  <dc:description/>
  <cp:lastModifiedBy>SZATMARI Peter (MOVE)</cp:lastModifiedBy>
  <cp:revision>2</cp:revision>
  <dcterms:created xsi:type="dcterms:W3CDTF">2022-11-28T16:34:00Z</dcterms:created>
  <dcterms:modified xsi:type="dcterms:W3CDTF">2022-11-28T16:34:00Z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2022-11-28T09:27:23Z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4ff7ccc2-e46c-499e-80d4-0294c5e5b57d</vt:lpwstr>
  </property>
  <property fmtid="{D5CDD505-2E9C-101B-9397-08002B2CF9AE}" pid="8" name="MSIP_Label_6bd9ddd1-4d20-43f6-abfa-fc3c07406f94_ContentBits">
    <vt:lpwstr>0</vt:lpwstr>
  </property>
</Properties>
</file>